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120" w:beforeLines="50" w:after="120" w:afterLines="50" w:line="360" w:lineRule="auto"/>
        <w:ind w:right="215"/>
        <w:jc w:val="center"/>
        <w:rPr>
          <w:rFonts w:hint="eastAsia"/>
          <w:b/>
          <w:spacing w:val="-9"/>
          <w:sz w:val="32"/>
          <w:szCs w:val="32"/>
        </w:rPr>
      </w:pPr>
      <w:r>
        <w:rPr>
          <w:b/>
          <w:spacing w:val="-9"/>
          <w:sz w:val="32"/>
          <w:szCs w:val="32"/>
        </w:rPr>
        <w:t>《</w:t>
      </w:r>
      <w:r>
        <w:rPr>
          <w:rFonts w:hint="eastAsia"/>
          <w:b/>
          <w:spacing w:val="-9"/>
          <w:sz w:val="32"/>
          <w:szCs w:val="32"/>
        </w:rPr>
        <w:t>再生聚丙烯非织造</w:t>
      </w:r>
      <w:r>
        <w:rPr>
          <w:rFonts w:hint="eastAsia"/>
          <w:b/>
          <w:spacing w:val="-9"/>
          <w:sz w:val="32"/>
          <w:szCs w:val="32"/>
          <w:lang w:val="en-US" w:eastAsia="zh-CN"/>
        </w:rPr>
        <w:t>布</w:t>
      </w:r>
      <w:r>
        <w:rPr>
          <w:rFonts w:hint="eastAsia"/>
          <w:b/>
          <w:spacing w:val="-9"/>
          <w:sz w:val="32"/>
          <w:szCs w:val="32"/>
        </w:rPr>
        <w:t>手提袋</w:t>
      </w:r>
      <w:r>
        <w:rPr>
          <w:b/>
          <w:spacing w:val="-9"/>
          <w:sz w:val="32"/>
          <w:szCs w:val="32"/>
        </w:rPr>
        <w:t>》</w:t>
      </w:r>
    </w:p>
    <w:p>
      <w:pPr>
        <w:pStyle w:val="5"/>
        <w:spacing w:before="120" w:beforeLines="50" w:after="120" w:afterLines="50" w:line="360" w:lineRule="auto"/>
        <w:ind w:right="215"/>
        <w:jc w:val="center"/>
        <w:rPr>
          <w:b/>
          <w:spacing w:val="-9"/>
          <w:sz w:val="32"/>
          <w:szCs w:val="32"/>
        </w:rPr>
      </w:pPr>
      <w:r>
        <w:rPr>
          <w:b/>
          <w:spacing w:val="-9"/>
          <w:sz w:val="32"/>
          <w:szCs w:val="32"/>
        </w:rPr>
        <w:t>团体标准编制说明</w:t>
      </w:r>
    </w:p>
    <w:p>
      <w:pPr>
        <w:pStyle w:val="2"/>
        <w:spacing w:before="120" w:beforeLines="50" w:after="120" w:afterLines="50" w:line="360" w:lineRule="auto"/>
        <w:ind w:left="0" w:right="1471"/>
        <w:jc w:val="both"/>
        <w:rPr>
          <w:sz w:val="32"/>
        </w:rPr>
      </w:pPr>
      <w:r>
        <w:rPr>
          <w:rFonts w:hint="eastAsia" w:ascii="宋体" w:eastAsia="宋体"/>
        </w:rPr>
        <w:t>一、工作简况</w:t>
      </w:r>
      <w:r>
        <w:rPr>
          <w:rFonts w:hint="eastAsia" w:ascii="宋体" w:eastAsia="宋体"/>
          <w:w w:val="99"/>
        </w:rPr>
        <w:t xml:space="preserve"> </w:t>
      </w:r>
    </w:p>
    <w:p>
      <w:pPr>
        <w:pStyle w:val="3"/>
        <w:spacing w:before="120" w:beforeLines="50" w:after="120" w:afterLines="50" w:line="360" w:lineRule="auto"/>
        <w:ind w:left="0"/>
      </w:pPr>
      <w:r>
        <w:rPr>
          <w:rFonts w:hint="eastAsia"/>
        </w:rPr>
        <w:t>（</w:t>
      </w:r>
      <w:r>
        <w:t>一</w:t>
      </w:r>
      <w:r>
        <w:rPr>
          <w:rFonts w:hint="eastAsia"/>
        </w:rPr>
        <w:t>）</w:t>
      </w:r>
      <w:r>
        <w:t>任务来源</w:t>
      </w:r>
    </w:p>
    <w:p>
      <w:pPr>
        <w:pStyle w:val="5"/>
        <w:spacing w:before="120" w:beforeLines="50" w:after="120" w:afterLines="50" w:line="360" w:lineRule="auto"/>
        <w:ind w:left="109" w:right="215" w:firstLine="419"/>
        <w:rPr>
          <w:spacing w:val="-2"/>
        </w:rPr>
      </w:pPr>
      <w:r>
        <w:rPr>
          <w:spacing w:val="-9"/>
        </w:rPr>
        <w:t>本标准</w:t>
      </w:r>
      <w:r>
        <w:rPr>
          <w:rFonts w:hint="eastAsia"/>
          <w:spacing w:val="-9"/>
        </w:rPr>
        <w:t>由中国产业用纺织品行业协会提出，标准计划号为</w:t>
      </w:r>
      <w:r>
        <w:rPr>
          <w:rFonts w:hint="eastAsia"/>
          <w:spacing w:val="-9"/>
          <w:lang w:val="en-US" w:eastAsia="zh-CN"/>
        </w:rPr>
        <w:t>2021-10-101</w:t>
      </w:r>
      <w:r>
        <w:rPr>
          <w:spacing w:val="-2"/>
        </w:rPr>
        <w:t>。</w:t>
      </w:r>
    </w:p>
    <w:p>
      <w:pPr>
        <w:pStyle w:val="5"/>
        <w:spacing w:before="120" w:beforeLines="50" w:after="120" w:afterLines="50" w:line="360" w:lineRule="auto"/>
        <w:ind w:right="215"/>
        <w:rPr>
          <w:b/>
          <w:bCs/>
          <w:spacing w:val="-2"/>
        </w:rPr>
      </w:pPr>
      <w:r>
        <w:rPr>
          <w:rFonts w:hint="eastAsia"/>
          <w:b/>
          <w:bCs/>
          <w:spacing w:val="-2"/>
        </w:rPr>
        <w:t>（二）起草单位</w:t>
      </w:r>
    </w:p>
    <w:p>
      <w:pPr>
        <w:pStyle w:val="5"/>
        <w:spacing w:line="360" w:lineRule="auto"/>
        <w:ind w:left="109" w:right="112" w:firstLine="419"/>
        <w:rPr>
          <w:spacing w:val="-8"/>
        </w:rPr>
      </w:pPr>
      <w:r>
        <w:t>本标准由</w:t>
      </w:r>
      <w:r>
        <w:rPr>
          <w:rFonts w:hint="eastAsia"/>
          <w:spacing w:val="-9"/>
        </w:rPr>
        <w:t>中国产业用纺织品行业协会</w:t>
      </w:r>
      <w:r>
        <w:rPr>
          <w:spacing w:val="-8"/>
        </w:rPr>
        <w:t>归口管理。</w:t>
      </w:r>
    </w:p>
    <w:p>
      <w:pPr>
        <w:pStyle w:val="5"/>
        <w:spacing w:line="360" w:lineRule="auto"/>
        <w:ind w:left="109" w:right="112" w:firstLine="419"/>
        <w:rPr>
          <w:spacing w:val="-3"/>
        </w:rPr>
      </w:pPr>
      <w:r>
        <w:rPr>
          <w:spacing w:val="-8"/>
        </w:rPr>
        <w:t>本标准由</w:t>
      </w:r>
      <w:r>
        <w:rPr>
          <w:rFonts w:hint="eastAsia" w:ascii="Times New Roman"/>
        </w:rPr>
        <w:t>广州检验检测认证集团有限公司联合</w:t>
      </w:r>
      <w:r>
        <w:rPr>
          <w:rFonts w:hint="eastAsia"/>
          <w:spacing w:val="-9"/>
        </w:rPr>
        <w:t>中国产业用纺织品行业协会及</w:t>
      </w:r>
      <w:r>
        <w:rPr>
          <w:rFonts w:hint="eastAsia" w:ascii="Times New Roman"/>
        </w:rPr>
        <w:t>相关企业</w:t>
      </w:r>
      <w:r>
        <w:rPr>
          <w:spacing w:val="-3"/>
        </w:rPr>
        <w:t>共同起草。</w:t>
      </w:r>
    </w:p>
    <w:p>
      <w:pPr>
        <w:pStyle w:val="2"/>
        <w:numPr>
          <w:ilvl w:val="0"/>
          <w:numId w:val="2"/>
        </w:numPr>
        <w:spacing w:before="1" w:line="360" w:lineRule="auto"/>
        <w:ind w:left="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制定标准的目的和意义</w:t>
      </w:r>
    </w:p>
    <w:p>
      <w:pPr>
        <w:pStyle w:val="5"/>
        <w:spacing w:before="26" w:line="360" w:lineRule="auto"/>
        <w:ind w:right="217" w:firstLine="525" w:firstLineChars="250"/>
      </w:pPr>
      <w:r>
        <w:rPr>
          <w:rFonts w:hint="eastAsia"/>
        </w:rPr>
        <w:t>当今社会经济飞速发展，人们生活水平日益提高，环境问题逐渐成为人们日益关注的重点。土壤的破坏、气候的变化和能源的浪费导致温室效应日趋严重，工业进步带来的许多化合物存在于空气、土壤、水、动植物和人体中，所形成的化学污染严重影响了生态平衡和人类社会的可持续发展。其中最为严重的莫过于聚丙烯、聚乙烯、聚氯乙烯、聚苯乙烯等高分子材料制成的各类塑料制品在使用后被随意乱丢乱扔，难于降解处理，严重污染环境。</w:t>
      </w:r>
    </w:p>
    <w:p>
      <w:pPr>
        <w:pStyle w:val="5"/>
        <w:spacing w:before="26" w:line="360" w:lineRule="auto"/>
        <w:ind w:right="217" w:firstLine="525" w:firstLineChars="250"/>
      </w:pPr>
      <w:r>
        <w:rPr>
          <w:rFonts w:hint="eastAsia"/>
        </w:rPr>
        <w:t>为解决这个问题，国务院办公厅下发了《国务院办公厅关于限制生产销售使用塑料购物袋的通知》，要求“从</w:t>
      </w:r>
      <w:r>
        <w:t>2008年6月1日起，在全国范围内禁止生产、销售、使用厚度小于0.025毫米的塑料购物袋”</w:t>
      </w:r>
      <w:r>
        <w:rPr>
          <w:rFonts w:hint="eastAsia"/>
        </w:rPr>
        <w:t>、</w:t>
      </w:r>
      <w:r>
        <w:t>“自2008年6月1日起，在所有超市、商场、集贸市场等商品零售场所实行塑料购物袋有偿使用制度，一律不得免费提供塑料购物袋”。</w:t>
      </w:r>
    </w:p>
    <w:p>
      <w:pPr>
        <w:pStyle w:val="5"/>
        <w:spacing w:before="26" w:line="360" w:lineRule="auto"/>
        <w:ind w:right="217" w:firstLine="525" w:firstLineChars="250"/>
        <w:rPr>
          <w:rFonts w:hint="eastAsia"/>
        </w:rPr>
      </w:pPr>
      <w:r>
        <w:rPr>
          <w:rFonts w:hint="eastAsia"/>
        </w:rPr>
        <w:t>“禁塑令”的颁布促进非织造购物袋广泛应用，非织造购物袋设计美观大方、可反复使用，有利于减少环境污染，是很多</w:t>
      </w:r>
      <w:bookmarkStart w:id="0" w:name="_GoBack"/>
      <w:bookmarkEnd w:id="0"/>
      <w:r>
        <w:rPr>
          <w:rFonts w:hint="eastAsia"/>
        </w:rPr>
        <w:t>环保购物一族的选择。非织造布袋可多次反复使用，减少了垃圾转化的压力，叠加环保概念，更能够体现使用企业的形象，虽价格相对传统塑料袋高，但仍广受欢迎，被各界广泛使用。</w:t>
      </w:r>
    </w:p>
    <w:p>
      <w:pPr>
        <w:pStyle w:val="5"/>
        <w:spacing w:before="26" w:line="360" w:lineRule="auto"/>
        <w:ind w:right="217" w:firstLine="525" w:firstLineChars="250"/>
      </w:pPr>
      <w:r>
        <w:rPr>
          <w:rFonts w:hint="eastAsia"/>
        </w:rPr>
        <w:t>为进一步有效减少塑料制品对环境的污染，国家鼓励发展废弃资源综合再利用，近年来颁布了一系列政策与法规促进相关行业有序健康发展，将塑料循环使用作为重点项目纳入到建设“无废城市”、“循环经济”、“生态文明体制改革”等发展方案中。塑料循环利用涉及塑料的回收和再生塑料的使用，其中再生塑料的使用是关键，只有回收的塑料能够再次使用，整个循环才能切实实行。再生塑料最大的优点是价格比新料和可降解塑料便宜，且可以根据不同的性能需要，选择性加工获得目标产品。聚丙烯作作为四大通用型热塑性材料之一，用途广泛，使用以后可回收加工得到再生聚丙烯原料，再次当作原料来使用，用于制造非织造</w:t>
      </w:r>
      <w:r>
        <w:rPr>
          <w:rFonts w:hint="eastAsia"/>
          <w:lang w:val="en-US" w:eastAsia="zh-CN"/>
        </w:rPr>
        <w:t>布</w:t>
      </w:r>
      <w:r>
        <w:rPr>
          <w:rFonts w:hint="eastAsia"/>
        </w:rPr>
        <w:t>手提袋，与国家倡导的“禁塑令”以及塑料循环利用高度契合。</w:t>
      </w:r>
    </w:p>
    <w:p>
      <w:pPr>
        <w:pStyle w:val="5"/>
        <w:spacing w:before="26" w:line="360" w:lineRule="auto"/>
        <w:ind w:right="217" w:firstLine="525" w:firstLineChars="250"/>
      </w:pPr>
      <w:r>
        <w:rPr>
          <w:rFonts w:hint="eastAsia"/>
        </w:rPr>
        <w:t>为响应国家提倡可持续发展的环保主题，改善未来人们的生活环境，有必要重视再生聚丙烯非织造布手提袋的推广和使用。因此，制定再生聚丙烯非织造</w:t>
      </w:r>
      <w:r>
        <w:rPr>
          <w:rFonts w:hint="eastAsia"/>
          <w:lang w:val="en-US" w:eastAsia="zh-CN"/>
        </w:rPr>
        <w:t>布</w:t>
      </w:r>
      <w:r>
        <w:rPr>
          <w:rFonts w:hint="eastAsia"/>
        </w:rPr>
        <w:t>手提袋的产品标准，统一规范相应产品的技术要求，将有利于促进生产企业的质量控制，同时方便消费者对该类产品进行评价和选购。</w:t>
      </w:r>
    </w:p>
    <w:p>
      <w:pPr>
        <w:pStyle w:val="3"/>
        <w:spacing w:before="25" w:line="360" w:lineRule="auto"/>
        <w:ind w:left="0"/>
        <w:rPr>
          <w:sz w:val="15"/>
        </w:rPr>
      </w:pPr>
      <w:r>
        <w:rPr>
          <w:rFonts w:hint="eastAsia"/>
        </w:rPr>
        <w:t>（四）</w:t>
      </w:r>
      <w:r>
        <w:t>主要工作过程</w:t>
      </w:r>
    </w:p>
    <w:p>
      <w:pPr>
        <w:pStyle w:val="5"/>
        <w:spacing w:before="26" w:line="360" w:lineRule="auto"/>
        <w:ind w:left="109" w:right="217" w:firstLine="419"/>
      </w:pPr>
      <w:r>
        <w:t>2022年1月11日，成立标准编制小组，查阅相关资料，确定本标准起草工作程序、标准编制原则。</w:t>
      </w:r>
    </w:p>
    <w:p>
      <w:pPr>
        <w:pStyle w:val="5"/>
        <w:spacing w:before="26" w:line="360" w:lineRule="auto"/>
        <w:ind w:left="109" w:right="217" w:firstLine="419"/>
      </w:pPr>
      <w:r>
        <w:t>2022年3月9日，对搜集汇总测试数据，形成标准草案。</w:t>
      </w:r>
    </w:p>
    <w:p>
      <w:pPr>
        <w:pStyle w:val="5"/>
        <w:spacing w:before="26" w:line="360" w:lineRule="auto"/>
        <w:ind w:left="109" w:right="217" w:firstLine="419"/>
      </w:pPr>
      <w:r>
        <w:t>2022年4月</w:t>
      </w:r>
      <w:r>
        <w:rPr>
          <w:rFonts w:hint="eastAsia"/>
        </w:rPr>
        <w:t>22</w:t>
      </w:r>
      <w:r>
        <w:t>日，经</w:t>
      </w:r>
      <w:r>
        <w:rPr>
          <w:rFonts w:hint="eastAsia"/>
        </w:rPr>
        <w:t>起草小组</w:t>
      </w:r>
      <w:r>
        <w:t>多次研讨后，形成标准征求意见稿，发送相关专家征求意见。</w:t>
      </w:r>
    </w:p>
    <w:p>
      <w:pPr>
        <w:pStyle w:val="2"/>
        <w:spacing w:after="120" w:afterLines="50" w:line="360" w:lineRule="auto"/>
        <w:ind w:left="0"/>
        <w:jc w:val="both"/>
        <w:rPr>
          <w:rFonts w:asciiTheme="minorEastAsia" w:hAnsiTheme="minorEastAsia" w:eastAsiaTheme="minorEastAsia" w:cstheme="minorEastAsia"/>
        </w:rPr>
      </w:pPr>
      <w:r>
        <w:rPr>
          <w:rFonts w:hint="eastAsia" w:asciiTheme="minorEastAsia" w:hAnsiTheme="minorEastAsia" w:eastAsiaTheme="minorEastAsia" w:cstheme="minorEastAsia"/>
          <w:w w:val="95"/>
        </w:rPr>
        <w:t>二、标准编制原则</w:t>
      </w:r>
    </w:p>
    <w:p>
      <w:pPr>
        <w:pStyle w:val="24"/>
        <w:numPr>
          <w:ilvl w:val="0"/>
          <w:numId w:val="3"/>
        </w:numPr>
        <w:tabs>
          <w:tab w:val="left" w:pos="1059"/>
        </w:tabs>
        <w:spacing w:line="360" w:lineRule="auto"/>
        <w:ind w:right="222" w:firstLine="419"/>
        <w:rPr>
          <w:spacing w:val="-3"/>
          <w:sz w:val="21"/>
        </w:rPr>
      </w:pPr>
      <w:r>
        <w:rPr>
          <w:spacing w:val="-3"/>
          <w:sz w:val="21"/>
        </w:rPr>
        <w:t>本标准的制定本着生产销售企业质量成本控制、行业可持续健康发展等各方面的影响，密切结合了企业生产实际和市场需求，兼顾标准的可操作性及前瞻性，使标准具有先进</w:t>
      </w:r>
      <w:r>
        <w:rPr>
          <w:rFonts w:hint="eastAsia"/>
          <w:spacing w:val="-3"/>
          <w:sz w:val="21"/>
        </w:rPr>
        <w:t>性和</w:t>
      </w:r>
      <w:r>
        <w:rPr>
          <w:spacing w:val="-3"/>
          <w:sz w:val="21"/>
        </w:rPr>
        <w:t>可行性。</w:t>
      </w:r>
    </w:p>
    <w:p>
      <w:pPr>
        <w:pStyle w:val="24"/>
        <w:numPr>
          <w:ilvl w:val="0"/>
          <w:numId w:val="3"/>
        </w:numPr>
        <w:tabs>
          <w:tab w:val="left" w:pos="1059"/>
        </w:tabs>
        <w:spacing w:line="360" w:lineRule="auto"/>
        <w:ind w:right="222" w:firstLine="419"/>
        <w:rPr>
          <w:spacing w:val="-3"/>
          <w:sz w:val="21"/>
        </w:rPr>
      </w:pPr>
      <w:r>
        <w:rPr>
          <w:spacing w:val="-3"/>
          <w:sz w:val="21"/>
        </w:rPr>
        <w:t>本标准</w:t>
      </w:r>
      <w:r>
        <w:rPr>
          <w:rFonts w:hint="eastAsia"/>
          <w:spacing w:val="-3"/>
          <w:sz w:val="21"/>
        </w:rPr>
        <w:t>格式要求</w:t>
      </w:r>
      <w:r>
        <w:rPr>
          <w:spacing w:val="-3"/>
          <w:sz w:val="21"/>
        </w:rPr>
        <w:t>按GB/T 1.1-2020《标准化工作导则 第1部分：标准化文件的结构和起草规则》</w:t>
      </w:r>
      <w:r>
        <w:rPr>
          <w:rFonts w:hint="eastAsia"/>
          <w:spacing w:val="-3"/>
          <w:sz w:val="21"/>
        </w:rPr>
        <w:t>进行编制，内容参照</w:t>
      </w:r>
      <w:r>
        <w:rPr>
          <w:spacing w:val="-3"/>
          <w:sz w:val="21"/>
        </w:rPr>
        <w:t>FZ/T 64035-2014《非织造布购物袋》</w:t>
      </w:r>
      <w:r>
        <w:rPr>
          <w:rFonts w:hint="eastAsia"/>
          <w:spacing w:val="-3"/>
          <w:sz w:val="21"/>
        </w:rPr>
        <w:t>并结合再生聚丙烯非织造材料的特点提出新的技术要求，</w:t>
      </w:r>
      <w:r>
        <w:rPr>
          <w:spacing w:val="-3"/>
          <w:sz w:val="21"/>
        </w:rPr>
        <w:t>进行编写。</w:t>
      </w:r>
    </w:p>
    <w:p>
      <w:pPr>
        <w:pStyle w:val="2"/>
        <w:spacing w:after="120" w:afterLines="50" w:line="360" w:lineRule="auto"/>
        <w:ind w:left="0"/>
        <w:jc w:val="both"/>
        <w:rPr>
          <w:rFonts w:asciiTheme="minorEastAsia" w:hAnsiTheme="minorEastAsia" w:eastAsiaTheme="minorEastAsia" w:cstheme="minorEastAsia"/>
          <w:w w:val="95"/>
        </w:rPr>
      </w:pPr>
      <w:r>
        <w:rPr>
          <w:rFonts w:hint="eastAsia" w:asciiTheme="minorEastAsia" w:hAnsiTheme="minorEastAsia" w:eastAsiaTheme="minorEastAsia" w:cstheme="minorEastAsia"/>
          <w:w w:val="95"/>
        </w:rPr>
        <w:t>三、主要内容的确定</w:t>
      </w:r>
    </w:p>
    <w:p>
      <w:pPr>
        <w:pStyle w:val="3"/>
        <w:numPr>
          <w:ilvl w:val="0"/>
          <w:numId w:val="4"/>
        </w:numPr>
        <w:spacing w:before="159" w:line="360" w:lineRule="auto"/>
      </w:pPr>
      <w:r>
        <w:t>标准名称的确定</w:t>
      </w:r>
    </w:p>
    <w:p>
      <w:pPr>
        <w:pStyle w:val="5"/>
        <w:spacing w:before="26" w:line="360" w:lineRule="auto"/>
        <w:ind w:left="110" w:leftChars="50" w:right="217" w:firstLine="445" w:firstLineChars="212"/>
      </w:pPr>
      <w:r>
        <w:rPr>
          <w:rFonts w:hint="eastAsia"/>
        </w:rPr>
        <w:t>根据产品原料特点及应用功能，本标准名称定为：再生聚丙烯非织造</w:t>
      </w:r>
      <w:r>
        <w:rPr>
          <w:rFonts w:hint="eastAsia"/>
          <w:lang w:val="en-US" w:eastAsia="zh-CN"/>
        </w:rPr>
        <w:t>布</w:t>
      </w:r>
      <w:r>
        <w:rPr>
          <w:rFonts w:hint="eastAsia"/>
        </w:rPr>
        <w:t>手提袋。</w:t>
      </w:r>
    </w:p>
    <w:p>
      <w:pPr>
        <w:pStyle w:val="3"/>
        <w:numPr>
          <w:ilvl w:val="0"/>
          <w:numId w:val="4"/>
        </w:numPr>
        <w:spacing w:before="159" w:line="360" w:lineRule="auto"/>
      </w:pPr>
      <w:r>
        <w:rPr>
          <w:rFonts w:hint="eastAsia"/>
        </w:rPr>
        <w:t>范围</w:t>
      </w:r>
    </w:p>
    <w:p>
      <w:pPr>
        <w:pStyle w:val="5"/>
        <w:spacing w:before="26" w:line="360" w:lineRule="auto"/>
        <w:ind w:left="109" w:right="217" w:firstLine="419"/>
      </w:pPr>
      <w:r>
        <w:rPr>
          <w:rFonts w:hint="eastAsia"/>
        </w:rPr>
        <w:t>本标准规定了再生聚丙烯非织造</w:t>
      </w:r>
      <w:r>
        <w:rPr>
          <w:rFonts w:hint="eastAsia"/>
          <w:lang w:val="en-US" w:eastAsia="zh-CN"/>
        </w:rPr>
        <w:t>布</w:t>
      </w:r>
      <w:r>
        <w:rPr>
          <w:rFonts w:hint="eastAsia"/>
        </w:rPr>
        <w:t>手提袋（以下简称：手提袋）的技术要求、试验方法、检验规则、包装、运输和贮存等。</w:t>
      </w:r>
    </w:p>
    <w:p>
      <w:pPr>
        <w:pStyle w:val="5"/>
        <w:spacing w:before="26" w:line="360" w:lineRule="auto"/>
        <w:ind w:left="109" w:right="217" w:firstLine="419"/>
      </w:pPr>
      <w:r>
        <w:rPr>
          <w:rFonts w:hint="eastAsia"/>
        </w:rPr>
        <w:t>根据国家鼓励塑料循环利用的政策，规定了适用于含有将废弃的聚丙烯制品回收后再制备的聚丙烯非织造布的手提袋，类似材料和用途的产品可参照本标准。</w:t>
      </w:r>
    </w:p>
    <w:p>
      <w:pPr>
        <w:pStyle w:val="3"/>
        <w:numPr>
          <w:ilvl w:val="0"/>
          <w:numId w:val="4"/>
        </w:numPr>
        <w:spacing w:before="159" w:line="360" w:lineRule="auto"/>
      </w:pPr>
      <w:r>
        <w:rPr>
          <w:rFonts w:hint="eastAsia"/>
        </w:rPr>
        <w:t>技术要求项目指标和依据</w:t>
      </w:r>
    </w:p>
    <w:p>
      <w:pPr>
        <w:pStyle w:val="5"/>
        <w:spacing w:before="26" w:line="360" w:lineRule="auto"/>
        <w:ind w:left="109" w:right="217" w:firstLine="419"/>
      </w:pPr>
      <w:r>
        <w:rPr>
          <w:rFonts w:hint="eastAsia"/>
        </w:rPr>
        <w:t>本标准中规定了再生聚丙烯非织造</w:t>
      </w:r>
      <w:r>
        <w:rPr>
          <w:rFonts w:hint="eastAsia"/>
          <w:lang w:val="en-US" w:eastAsia="zh-CN"/>
        </w:rPr>
        <w:t>布</w:t>
      </w:r>
      <w:r>
        <w:rPr>
          <w:rFonts w:hint="eastAsia"/>
        </w:rPr>
        <w:t>手提袋的三类技术要求：外观质量要求、内在质量要求和原料要求。</w:t>
      </w:r>
    </w:p>
    <w:p>
      <w:pPr>
        <w:pStyle w:val="5"/>
        <w:numPr>
          <w:ilvl w:val="0"/>
          <w:numId w:val="5"/>
        </w:numPr>
        <w:spacing w:before="26" w:line="360" w:lineRule="auto"/>
        <w:ind w:right="217"/>
      </w:pPr>
      <w:r>
        <w:rPr>
          <w:rFonts w:hint="eastAsia"/>
        </w:rPr>
        <w:t>外观质量要求</w:t>
      </w:r>
    </w:p>
    <w:p>
      <w:pPr>
        <w:pStyle w:val="5"/>
        <w:spacing w:before="26" w:line="360" w:lineRule="auto"/>
        <w:ind w:left="109" w:right="217" w:firstLine="419"/>
      </w:pPr>
      <w:r>
        <w:rPr>
          <w:rFonts w:hint="eastAsia"/>
        </w:rPr>
        <w:t>根据主要生产企业的反馈的日常生产管理和相关用户的需求，外观质量要求主要包括外观和印刷质量，外观主要从布面和缝合处提出要求，印刷质量主要从图案、文字、油墨和套印方面要求。</w:t>
      </w:r>
    </w:p>
    <w:p>
      <w:pPr>
        <w:pStyle w:val="5"/>
        <w:numPr>
          <w:ilvl w:val="0"/>
          <w:numId w:val="5"/>
        </w:numPr>
        <w:spacing w:before="26" w:line="360" w:lineRule="auto"/>
        <w:ind w:right="217"/>
      </w:pPr>
      <w:r>
        <w:rPr>
          <w:rFonts w:hint="eastAsia"/>
        </w:rPr>
        <w:t>内在质量要求</w:t>
      </w:r>
    </w:p>
    <w:p>
      <w:pPr>
        <w:pStyle w:val="5"/>
        <w:spacing w:before="26" w:line="360" w:lineRule="auto"/>
        <w:ind w:left="109" w:right="217" w:firstLine="419"/>
        <w:rPr>
          <w:spacing w:val="-3"/>
          <w:szCs w:val="22"/>
        </w:rPr>
      </w:pPr>
      <w:r>
        <w:rPr>
          <w:rFonts w:hint="eastAsia"/>
        </w:rPr>
        <w:t>内在质量要求主要参考</w:t>
      </w:r>
      <w:r>
        <w:t>FZ/T 64035</w:t>
      </w:r>
      <w:r>
        <w:rPr>
          <w:spacing w:val="-3"/>
          <w:szCs w:val="22"/>
        </w:rPr>
        <w:t>-2014《非织造布购物袋》</w:t>
      </w:r>
      <w:r>
        <w:rPr>
          <w:rFonts w:hint="eastAsia"/>
          <w:spacing w:val="-3"/>
          <w:szCs w:val="22"/>
        </w:rPr>
        <w:t>,根据最大承重量分别提出指标要求，考核项目包括尺寸偏差、单位面积质量、断裂强力、撕破强力、刺破强力、提吊试验、耐摩擦色牢度和荧光物。</w:t>
      </w:r>
    </w:p>
    <w:p>
      <w:pPr>
        <w:pStyle w:val="5"/>
        <w:spacing w:before="26" w:line="360" w:lineRule="auto"/>
        <w:ind w:left="109" w:right="217" w:firstLine="419"/>
        <w:rPr>
          <w:spacing w:val="-3"/>
          <w:szCs w:val="22"/>
        </w:rPr>
      </w:pPr>
      <w:r>
        <w:rPr>
          <w:rFonts w:hint="eastAsia"/>
          <w:spacing w:val="-3"/>
          <w:szCs w:val="22"/>
        </w:rPr>
        <w:t>其中最大承重量减少了4kg～</w:t>
      </w:r>
      <w:r>
        <w:rPr>
          <w:spacing w:val="-3"/>
          <w:szCs w:val="22"/>
        </w:rPr>
        <w:t>6</w:t>
      </w:r>
      <w:r>
        <w:rPr>
          <w:rFonts w:hint="eastAsia"/>
          <w:spacing w:val="-3"/>
          <w:szCs w:val="22"/>
        </w:rPr>
        <w:t>kg的规格，主要是根据目前再生聚丙烯非织造</w:t>
      </w:r>
      <w:r>
        <w:rPr>
          <w:rFonts w:hint="eastAsia"/>
          <w:spacing w:val="-3"/>
          <w:szCs w:val="22"/>
          <w:lang w:val="en-US" w:eastAsia="zh-CN"/>
        </w:rPr>
        <w:t>布</w:t>
      </w:r>
      <w:r>
        <w:rPr>
          <w:rFonts w:hint="eastAsia"/>
          <w:spacing w:val="-3"/>
          <w:szCs w:val="22"/>
        </w:rPr>
        <w:t>手提袋的主要生产企业和常规用户角度出发，目前极少用较低克重材料进行制备，同时消费者使用习惯是只要袋子还能装、一般均不太留意其最大承重量。</w:t>
      </w:r>
    </w:p>
    <w:p>
      <w:pPr>
        <w:pStyle w:val="5"/>
        <w:spacing w:before="26" w:line="360" w:lineRule="auto"/>
        <w:ind w:left="109" w:right="217" w:firstLine="419"/>
        <w:rPr>
          <w:spacing w:val="-3"/>
          <w:szCs w:val="22"/>
        </w:rPr>
      </w:pPr>
      <w:r>
        <w:rPr>
          <w:rFonts w:hint="eastAsia"/>
          <w:spacing w:val="-3"/>
          <w:szCs w:val="22"/>
        </w:rPr>
        <w:t>此外增加了撕破强力、刺破强力和荧光物三个考核指标，主要是结合再生原料的特点和使用特点考虑。再生原料一般不如新料那么容易设计和控制颜色，而袋子的使用场景可能千变万化，从谨慎角度不建议添加荧光物。此外增加了刺破强力和撕破强力的要求，主要是从实用角度出发，在用手提袋装物品时，可能有物品锐利尖端对袋子造成损坏，同时由于承受一定重量、破洞可能进一步扩大，模拟这两种情形，起草小组选择刺破强力和撕破强力对手提袋的实用性能进行表征。</w:t>
      </w:r>
    </w:p>
    <w:p>
      <w:pPr>
        <w:pStyle w:val="5"/>
        <w:spacing w:before="26" w:line="360" w:lineRule="auto"/>
        <w:ind w:left="109" w:right="217" w:firstLine="419"/>
      </w:pPr>
      <w:r>
        <w:rPr>
          <w:rFonts w:hint="eastAsia"/>
        </w:rPr>
        <w:t>起草小组搜集了几个典型的再生聚丙烯非织造</w:t>
      </w:r>
      <w:r>
        <w:rPr>
          <w:rFonts w:hint="eastAsia"/>
          <w:lang w:val="en-US" w:eastAsia="zh-CN"/>
        </w:rPr>
        <w:t>布</w:t>
      </w:r>
      <w:r>
        <w:rPr>
          <w:rFonts w:hint="eastAsia"/>
        </w:rPr>
        <w:t>手提袋，并对其刺破强力和撕破强力进行试验，结果如下表所示：</w:t>
      </w:r>
    </w:p>
    <w:p>
      <w:pPr>
        <w:pStyle w:val="5"/>
        <w:spacing w:before="26" w:line="360" w:lineRule="auto"/>
        <w:ind w:right="217"/>
        <w:jc w:val="center"/>
        <w:rPr>
          <w:b/>
          <w:bCs/>
          <w:sz w:val="18"/>
          <w:szCs w:val="18"/>
        </w:rPr>
      </w:pPr>
      <w:r>
        <w:rPr>
          <w:rFonts w:hint="eastAsia"/>
          <w:b/>
          <w:bCs/>
          <w:sz w:val="18"/>
          <w:szCs w:val="18"/>
        </w:rPr>
        <w:t>表1</w:t>
      </w:r>
      <w:r>
        <w:rPr>
          <w:b/>
          <w:bCs/>
          <w:sz w:val="18"/>
          <w:szCs w:val="18"/>
        </w:rPr>
        <w:t xml:space="preserve"> </w:t>
      </w:r>
      <w:r>
        <w:rPr>
          <w:rFonts w:hint="eastAsia"/>
          <w:b/>
          <w:bCs/>
          <w:sz w:val="18"/>
          <w:szCs w:val="18"/>
        </w:rPr>
        <w:t>典型手提袋实用性能结果分析</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2175"/>
        <w:gridCol w:w="2232"/>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b/>
                <w:bCs/>
                <w:sz w:val="18"/>
                <w:szCs w:val="18"/>
              </w:rPr>
            </w:pPr>
            <w:r>
              <w:rPr>
                <w:rFonts w:hint="eastAsia"/>
                <w:b/>
                <w:bCs/>
                <w:sz w:val="18"/>
                <w:szCs w:val="18"/>
              </w:rPr>
              <w:t>样品编号</w:t>
            </w:r>
          </w:p>
        </w:tc>
        <w:tc>
          <w:tcPr>
            <w:tcW w:w="2175" w:type="dxa"/>
          </w:tcPr>
          <w:p>
            <w:pPr>
              <w:pStyle w:val="5"/>
              <w:spacing w:before="26" w:line="360" w:lineRule="auto"/>
              <w:jc w:val="center"/>
              <w:rPr>
                <w:b/>
                <w:bCs/>
                <w:sz w:val="18"/>
                <w:szCs w:val="18"/>
              </w:rPr>
            </w:pPr>
            <w:r>
              <w:rPr>
                <w:rFonts w:hint="eastAsia"/>
                <w:b/>
                <w:bCs/>
                <w:sz w:val="18"/>
                <w:szCs w:val="18"/>
              </w:rPr>
              <w:t>单位面积质量（g/m</w:t>
            </w:r>
            <w:r>
              <w:rPr>
                <w:b/>
                <w:bCs/>
                <w:sz w:val="18"/>
                <w:szCs w:val="18"/>
                <w:vertAlign w:val="superscript"/>
              </w:rPr>
              <w:t>2</w:t>
            </w:r>
            <w:r>
              <w:rPr>
                <w:rFonts w:hint="eastAsia"/>
                <w:b/>
                <w:bCs/>
                <w:sz w:val="18"/>
                <w:szCs w:val="18"/>
              </w:rPr>
              <w:t>）</w:t>
            </w:r>
          </w:p>
        </w:tc>
        <w:tc>
          <w:tcPr>
            <w:tcW w:w="2232" w:type="dxa"/>
          </w:tcPr>
          <w:p>
            <w:pPr>
              <w:pStyle w:val="5"/>
              <w:spacing w:before="26" w:line="360" w:lineRule="auto"/>
              <w:jc w:val="center"/>
              <w:rPr>
                <w:b/>
                <w:bCs/>
                <w:sz w:val="18"/>
                <w:szCs w:val="18"/>
              </w:rPr>
            </w:pPr>
            <w:r>
              <w:rPr>
                <w:rFonts w:hint="eastAsia"/>
                <w:b/>
                <w:bCs/>
                <w:sz w:val="18"/>
                <w:szCs w:val="18"/>
              </w:rPr>
              <w:t>刺破强力(</w:t>
            </w:r>
            <w:r>
              <w:rPr>
                <w:b/>
                <w:bCs/>
                <w:sz w:val="18"/>
                <w:szCs w:val="18"/>
              </w:rPr>
              <w:t>N)</w:t>
            </w:r>
          </w:p>
        </w:tc>
        <w:tc>
          <w:tcPr>
            <w:tcW w:w="2232" w:type="dxa"/>
          </w:tcPr>
          <w:p>
            <w:pPr>
              <w:pStyle w:val="5"/>
              <w:spacing w:before="26" w:line="360" w:lineRule="auto"/>
              <w:jc w:val="center"/>
              <w:rPr>
                <w:b/>
                <w:bCs/>
                <w:sz w:val="18"/>
                <w:szCs w:val="18"/>
              </w:rPr>
            </w:pPr>
            <w:r>
              <w:rPr>
                <w:rFonts w:hint="eastAsia"/>
                <w:b/>
                <w:bCs/>
                <w:sz w:val="18"/>
                <w:szCs w:val="18"/>
              </w:rPr>
              <w:t>撕破强力(</w:t>
            </w:r>
            <w:r>
              <w:rPr>
                <w:b/>
                <w:bCs/>
                <w:sz w:val="18"/>
                <w:szCs w:val="18"/>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1#</w:t>
            </w:r>
          </w:p>
        </w:tc>
        <w:tc>
          <w:tcPr>
            <w:tcW w:w="2175" w:type="dxa"/>
          </w:tcPr>
          <w:p>
            <w:pPr>
              <w:pStyle w:val="5"/>
              <w:spacing w:before="26" w:line="360" w:lineRule="auto"/>
              <w:jc w:val="center"/>
              <w:rPr>
                <w:sz w:val="18"/>
                <w:szCs w:val="18"/>
              </w:rPr>
            </w:pPr>
            <w:r>
              <w:rPr>
                <w:rFonts w:hint="eastAsia"/>
                <w:sz w:val="18"/>
                <w:szCs w:val="18"/>
              </w:rPr>
              <w:t>3</w:t>
            </w:r>
            <w:r>
              <w:rPr>
                <w:sz w:val="18"/>
                <w:szCs w:val="18"/>
              </w:rPr>
              <w:t>9.7</w:t>
            </w:r>
          </w:p>
        </w:tc>
        <w:tc>
          <w:tcPr>
            <w:tcW w:w="2232" w:type="dxa"/>
          </w:tcPr>
          <w:p>
            <w:pPr>
              <w:pStyle w:val="5"/>
              <w:spacing w:before="26" w:line="360" w:lineRule="auto"/>
              <w:jc w:val="center"/>
              <w:rPr>
                <w:sz w:val="18"/>
                <w:szCs w:val="18"/>
              </w:rPr>
            </w:pPr>
            <w:r>
              <w:rPr>
                <w:rFonts w:hint="eastAsia"/>
                <w:sz w:val="18"/>
                <w:szCs w:val="18"/>
              </w:rPr>
              <w:t>2</w:t>
            </w:r>
            <w:r>
              <w:rPr>
                <w:sz w:val="18"/>
                <w:szCs w:val="18"/>
              </w:rPr>
              <w:t>.83</w:t>
            </w:r>
          </w:p>
        </w:tc>
        <w:tc>
          <w:tcPr>
            <w:tcW w:w="2232" w:type="dxa"/>
          </w:tcPr>
          <w:p>
            <w:pPr>
              <w:pStyle w:val="5"/>
              <w:spacing w:before="26" w:line="360" w:lineRule="auto"/>
              <w:jc w:val="center"/>
              <w:rPr>
                <w:sz w:val="18"/>
                <w:szCs w:val="18"/>
              </w:rPr>
            </w:pPr>
            <w:r>
              <w:rPr>
                <w:rFonts w:hint="eastAsia"/>
                <w:sz w:val="18"/>
                <w:szCs w:val="18"/>
              </w:rPr>
              <w:t>纵向5</w:t>
            </w:r>
            <w:r>
              <w:rPr>
                <w:sz w:val="18"/>
                <w:szCs w:val="18"/>
              </w:rPr>
              <w:t>3.9</w:t>
            </w:r>
            <w:r>
              <w:rPr>
                <w:rFonts w:hint="eastAsia"/>
                <w:sz w:val="18"/>
                <w:szCs w:val="18"/>
              </w:rPr>
              <w:t>，横向2</w:t>
            </w:r>
            <w:r>
              <w:rPr>
                <w:sz w:val="18"/>
                <w:szCs w:val="18"/>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2#</w:t>
            </w:r>
          </w:p>
        </w:tc>
        <w:tc>
          <w:tcPr>
            <w:tcW w:w="2175" w:type="dxa"/>
          </w:tcPr>
          <w:p>
            <w:pPr>
              <w:pStyle w:val="5"/>
              <w:spacing w:before="26" w:line="360" w:lineRule="auto"/>
              <w:jc w:val="center"/>
              <w:rPr>
                <w:sz w:val="18"/>
                <w:szCs w:val="18"/>
              </w:rPr>
            </w:pPr>
            <w:r>
              <w:rPr>
                <w:rFonts w:hint="eastAsia"/>
                <w:sz w:val="18"/>
                <w:szCs w:val="18"/>
              </w:rPr>
              <w:t>4</w:t>
            </w:r>
            <w:r>
              <w:rPr>
                <w:sz w:val="18"/>
                <w:szCs w:val="18"/>
              </w:rPr>
              <w:t>1.2</w:t>
            </w:r>
          </w:p>
        </w:tc>
        <w:tc>
          <w:tcPr>
            <w:tcW w:w="2232" w:type="dxa"/>
          </w:tcPr>
          <w:p>
            <w:pPr>
              <w:pStyle w:val="5"/>
              <w:spacing w:before="26" w:line="360" w:lineRule="auto"/>
              <w:jc w:val="center"/>
              <w:rPr>
                <w:sz w:val="18"/>
                <w:szCs w:val="18"/>
              </w:rPr>
            </w:pPr>
            <w:r>
              <w:rPr>
                <w:rFonts w:hint="eastAsia"/>
                <w:sz w:val="18"/>
                <w:szCs w:val="18"/>
              </w:rPr>
              <w:t>2</w:t>
            </w:r>
            <w:r>
              <w:rPr>
                <w:sz w:val="18"/>
                <w:szCs w:val="18"/>
              </w:rPr>
              <w:t>.35</w:t>
            </w:r>
          </w:p>
        </w:tc>
        <w:tc>
          <w:tcPr>
            <w:tcW w:w="2232" w:type="dxa"/>
          </w:tcPr>
          <w:p>
            <w:pPr>
              <w:pStyle w:val="5"/>
              <w:spacing w:before="26" w:line="360" w:lineRule="auto"/>
              <w:jc w:val="center"/>
              <w:rPr>
                <w:sz w:val="18"/>
                <w:szCs w:val="18"/>
              </w:rPr>
            </w:pPr>
            <w:r>
              <w:rPr>
                <w:rFonts w:hint="eastAsia"/>
                <w:sz w:val="18"/>
                <w:szCs w:val="18"/>
              </w:rPr>
              <w:t>纵向</w:t>
            </w:r>
            <w:r>
              <w:rPr>
                <w:sz w:val="18"/>
                <w:szCs w:val="18"/>
              </w:rPr>
              <w:t>47.3</w:t>
            </w:r>
            <w:r>
              <w:rPr>
                <w:rFonts w:hint="eastAsia"/>
                <w:sz w:val="18"/>
                <w:szCs w:val="18"/>
              </w:rPr>
              <w:t>，横向2</w:t>
            </w:r>
            <w:r>
              <w:rPr>
                <w:sz w:val="18"/>
                <w:szCs w:val="18"/>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3#</w:t>
            </w:r>
          </w:p>
        </w:tc>
        <w:tc>
          <w:tcPr>
            <w:tcW w:w="2175" w:type="dxa"/>
          </w:tcPr>
          <w:p>
            <w:pPr>
              <w:pStyle w:val="5"/>
              <w:spacing w:before="26" w:line="360" w:lineRule="auto"/>
              <w:jc w:val="center"/>
              <w:rPr>
                <w:sz w:val="18"/>
                <w:szCs w:val="18"/>
              </w:rPr>
            </w:pPr>
            <w:r>
              <w:rPr>
                <w:rFonts w:hint="eastAsia"/>
                <w:sz w:val="18"/>
                <w:szCs w:val="18"/>
              </w:rPr>
              <w:t>5</w:t>
            </w:r>
            <w:r>
              <w:rPr>
                <w:sz w:val="18"/>
                <w:szCs w:val="18"/>
              </w:rPr>
              <w:t>2.3</w:t>
            </w:r>
          </w:p>
        </w:tc>
        <w:tc>
          <w:tcPr>
            <w:tcW w:w="2232" w:type="dxa"/>
          </w:tcPr>
          <w:p>
            <w:pPr>
              <w:pStyle w:val="5"/>
              <w:spacing w:before="26" w:line="360" w:lineRule="auto"/>
              <w:jc w:val="center"/>
              <w:rPr>
                <w:sz w:val="18"/>
                <w:szCs w:val="18"/>
              </w:rPr>
            </w:pPr>
            <w:r>
              <w:rPr>
                <w:sz w:val="18"/>
                <w:szCs w:val="18"/>
              </w:rPr>
              <w:t>2.76</w:t>
            </w:r>
          </w:p>
        </w:tc>
        <w:tc>
          <w:tcPr>
            <w:tcW w:w="2232" w:type="dxa"/>
          </w:tcPr>
          <w:p>
            <w:pPr>
              <w:pStyle w:val="5"/>
              <w:spacing w:before="26" w:line="360" w:lineRule="auto"/>
              <w:jc w:val="center"/>
              <w:rPr>
                <w:sz w:val="18"/>
                <w:szCs w:val="18"/>
              </w:rPr>
            </w:pPr>
            <w:r>
              <w:rPr>
                <w:rFonts w:hint="eastAsia"/>
                <w:sz w:val="18"/>
                <w:szCs w:val="18"/>
              </w:rPr>
              <w:t>纵向</w:t>
            </w:r>
            <w:r>
              <w:rPr>
                <w:sz w:val="18"/>
                <w:szCs w:val="18"/>
              </w:rPr>
              <w:t>66.7</w:t>
            </w:r>
            <w:r>
              <w:rPr>
                <w:rFonts w:hint="eastAsia"/>
                <w:sz w:val="18"/>
                <w:szCs w:val="18"/>
              </w:rPr>
              <w:t>，横向</w:t>
            </w:r>
            <w:r>
              <w:rPr>
                <w:sz w:val="18"/>
                <w:szCs w:val="18"/>
              </w:rPr>
              <w:t>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4#</w:t>
            </w:r>
          </w:p>
        </w:tc>
        <w:tc>
          <w:tcPr>
            <w:tcW w:w="2175" w:type="dxa"/>
          </w:tcPr>
          <w:p>
            <w:pPr>
              <w:pStyle w:val="5"/>
              <w:spacing w:before="26" w:line="360" w:lineRule="auto"/>
              <w:jc w:val="center"/>
              <w:rPr>
                <w:sz w:val="18"/>
                <w:szCs w:val="18"/>
              </w:rPr>
            </w:pPr>
            <w:r>
              <w:rPr>
                <w:rFonts w:hint="eastAsia"/>
                <w:sz w:val="18"/>
                <w:szCs w:val="18"/>
              </w:rPr>
              <w:t>5</w:t>
            </w:r>
            <w:r>
              <w:rPr>
                <w:sz w:val="18"/>
                <w:szCs w:val="18"/>
              </w:rPr>
              <w:t>0.5</w:t>
            </w:r>
          </w:p>
        </w:tc>
        <w:tc>
          <w:tcPr>
            <w:tcW w:w="2232" w:type="dxa"/>
          </w:tcPr>
          <w:p>
            <w:pPr>
              <w:pStyle w:val="5"/>
              <w:spacing w:before="26" w:line="360" w:lineRule="auto"/>
              <w:jc w:val="center"/>
              <w:rPr>
                <w:sz w:val="18"/>
                <w:szCs w:val="18"/>
              </w:rPr>
            </w:pPr>
            <w:r>
              <w:rPr>
                <w:rFonts w:hint="eastAsia"/>
                <w:sz w:val="18"/>
                <w:szCs w:val="18"/>
              </w:rPr>
              <w:t>3</w:t>
            </w:r>
            <w:r>
              <w:rPr>
                <w:sz w:val="18"/>
                <w:szCs w:val="18"/>
              </w:rPr>
              <w:t>.03</w:t>
            </w:r>
          </w:p>
        </w:tc>
        <w:tc>
          <w:tcPr>
            <w:tcW w:w="2232" w:type="dxa"/>
          </w:tcPr>
          <w:p>
            <w:pPr>
              <w:pStyle w:val="5"/>
              <w:spacing w:before="26" w:line="360" w:lineRule="auto"/>
              <w:jc w:val="center"/>
              <w:rPr>
                <w:sz w:val="18"/>
                <w:szCs w:val="18"/>
              </w:rPr>
            </w:pPr>
            <w:r>
              <w:rPr>
                <w:rFonts w:hint="eastAsia"/>
                <w:sz w:val="18"/>
                <w:szCs w:val="18"/>
              </w:rPr>
              <w:t>纵向</w:t>
            </w:r>
            <w:r>
              <w:rPr>
                <w:sz w:val="18"/>
                <w:szCs w:val="18"/>
              </w:rPr>
              <w:t>72.8</w:t>
            </w:r>
            <w:r>
              <w:rPr>
                <w:rFonts w:hint="eastAsia"/>
                <w:sz w:val="18"/>
                <w:szCs w:val="18"/>
              </w:rPr>
              <w:t>，横向</w:t>
            </w:r>
            <w:r>
              <w:rPr>
                <w:sz w:val="18"/>
                <w:szCs w:val="18"/>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5#</w:t>
            </w:r>
          </w:p>
        </w:tc>
        <w:tc>
          <w:tcPr>
            <w:tcW w:w="2175" w:type="dxa"/>
          </w:tcPr>
          <w:p>
            <w:pPr>
              <w:pStyle w:val="5"/>
              <w:spacing w:before="26" w:line="360" w:lineRule="auto"/>
              <w:jc w:val="center"/>
              <w:rPr>
                <w:sz w:val="18"/>
                <w:szCs w:val="18"/>
              </w:rPr>
            </w:pPr>
            <w:r>
              <w:rPr>
                <w:rFonts w:hint="eastAsia"/>
                <w:sz w:val="18"/>
                <w:szCs w:val="18"/>
              </w:rPr>
              <w:t>6</w:t>
            </w:r>
            <w:r>
              <w:rPr>
                <w:sz w:val="18"/>
                <w:szCs w:val="18"/>
              </w:rPr>
              <w:t>3.6</w:t>
            </w:r>
          </w:p>
        </w:tc>
        <w:tc>
          <w:tcPr>
            <w:tcW w:w="2232" w:type="dxa"/>
          </w:tcPr>
          <w:p>
            <w:pPr>
              <w:pStyle w:val="5"/>
              <w:spacing w:before="26" w:line="360" w:lineRule="auto"/>
              <w:jc w:val="center"/>
              <w:rPr>
                <w:sz w:val="18"/>
                <w:szCs w:val="18"/>
              </w:rPr>
            </w:pPr>
            <w:r>
              <w:rPr>
                <w:rFonts w:hint="eastAsia"/>
                <w:sz w:val="18"/>
                <w:szCs w:val="18"/>
              </w:rPr>
              <w:t>3</w:t>
            </w:r>
            <w:r>
              <w:rPr>
                <w:sz w:val="18"/>
                <w:szCs w:val="18"/>
              </w:rPr>
              <w:t>.82</w:t>
            </w:r>
          </w:p>
        </w:tc>
        <w:tc>
          <w:tcPr>
            <w:tcW w:w="2232" w:type="dxa"/>
          </w:tcPr>
          <w:p>
            <w:pPr>
              <w:pStyle w:val="5"/>
              <w:spacing w:before="26" w:line="360" w:lineRule="auto"/>
              <w:jc w:val="center"/>
              <w:rPr>
                <w:sz w:val="18"/>
                <w:szCs w:val="18"/>
              </w:rPr>
            </w:pPr>
            <w:r>
              <w:rPr>
                <w:rFonts w:hint="eastAsia"/>
                <w:sz w:val="18"/>
                <w:szCs w:val="18"/>
              </w:rPr>
              <w:t>纵向</w:t>
            </w:r>
            <w:r>
              <w:rPr>
                <w:sz w:val="18"/>
                <w:szCs w:val="18"/>
              </w:rPr>
              <w:t>92.9</w:t>
            </w:r>
            <w:r>
              <w:rPr>
                <w:rFonts w:hint="eastAsia"/>
                <w:sz w:val="18"/>
                <w:szCs w:val="18"/>
              </w:rPr>
              <w:t>，横向</w:t>
            </w:r>
            <w:r>
              <w:rPr>
                <w:sz w:val="18"/>
                <w:szCs w:val="18"/>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7" w:type="dxa"/>
          </w:tcPr>
          <w:p>
            <w:pPr>
              <w:pStyle w:val="5"/>
              <w:spacing w:before="26" w:line="360" w:lineRule="auto"/>
              <w:jc w:val="center"/>
              <w:rPr>
                <w:sz w:val="18"/>
                <w:szCs w:val="18"/>
              </w:rPr>
            </w:pPr>
            <w:r>
              <w:rPr>
                <w:rFonts w:hint="eastAsia"/>
                <w:sz w:val="18"/>
                <w:szCs w:val="18"/>
              </w:rPr>
              <w:t>6#</w:t>
            </w:r>
          </w:p>
        </w:tc>
        <w:tc>
          <w:tcPr>
            <w:tcW w:w="2175" w:type="dxa"/>
          </w:tcPr>
          <w:p>
            <w:pPr>
              <w:pStyle w:val="5"/>
              <w:spacing w:before="26" w:line="360" w:lineRule="auto"/>
              <w:jc w:val="center"/>
              <w:rPr>
                <w:sz w:val="18"/>
                <w:szCs w:val="18"/>
              </w:rPr>
            </w:pPr>
            <w:r>
              <w:rPr>
                <w:rFonts w:hint="eastAsia"/>
                <w:sz w:val="18"/>
                <w:szCs w:val="18"/>
              </w:rPr>
              <w:t>5</w:t>
            </w:r>
            <w:r>
              <w:rPr>
                <w:sz w:val="18"/>
                <w:szCs w:val="18"/>
              </w:rPr>
              <w:t>8.9</w:t>
            </w:r>
          </w:p>
        </w:tc>
        <w:tc>
          <w:tcPr>
            <w:tcW w:w="2232" w:type="dxa"/>
          </w:tcPr>
          <w:p>
            <w:pPr>
              <w:pStyle w:val="5"/>
              <w:spacing w:before="26" w:line="360" w:lineRule="auto"/>
              <w:jc w:val="center"/>
              <w:rPr>
                <w:sz w:val="18"/>
                <w:szCs w:val="18"/>
              </w:rPr>
            </w:pPr>
            <w:r>
              <w:rPr>
                <w:rFonts w:hint="eastAsia"/>
                <w:sz w:val="18"/>
                <w:szCs w:val="18"/>
              </w:rPr>
              <w:t>4</w:t>
            </w:r>
            <w:r>
              <w:rPr>
                <w:sz w:val="18"/>
                <w:szCs w:val="18"/>
              </w:rPr>
              <w:t>.13</w:t>
            </w:r>
          </w:p>
        </w:tc>
        <w:tc>
          <w:tcPr>
            <w:tcW w:w="2232" w:type="dxa"/>
          </w:tcPr>
          <w:p>
            <w:pPr>
              <w:pStyle w:val="5"/>
              <w:spacing w:before="26" w:line="360" w:lineRule="auto"/>
              <w:jc w:val="center"/>
              <w:rPr>
                <w:sz w:val="18"/>
                <w:szCs w:val="18"/>
              </w:rPr>
            </w:pPr>
            <w:r>
              <w:rPr>
                <w:rFonts w:hint="eastAsia"/>
                <w:sz w:val="18"/>
                <w:szCs w:val="18"/>
              </w:rPr>
              <w:t>纵向</w:t>
            </w:r>
            <w:r>
              <w:rPr>
                <w:sz w:val="18"/>
                <w:szCs w:val="18"/>
              </w:rPr>
              <w:t>88.3</w:t>
            </w:r>
            <w:r>
              <w:rPr>
                <w:rFonts w:hint="eastAsia"/>
                <w:sz w:val="18"/>
                <w:szCs w:val="18"/>
              </w:rPr>
              <w:t>，横向</w:t>
            </w:r>
            <w:r>
              <w:rPr>
                <w:sz w:val="18"/>
                <w:szCs w:val="18"/>
              </w:rPr>
              <w:t>49.0</w:t>
            </w:r>
          </w:p>
        </w:tc>
      </w:tr>
    </w:tbl>
    <w:p>
      <w:pPr>
        <w:pStyle w:val="5"/>
        <w:spacing w:before="26" w:line="360" w:lineRule="auto"/>
        <w:ind w:right="217" w:firstLine="420"/>
        <w:rPr>
          <w:b/>
          <w:bCs/>
        </w:rPr>
      </w:pPr>
      <w:r>
        <w:rPr>
          <w:rFonts w:hint="eastAsia"/>
        </w:rPr>
        <w:t>结果显示：随着材料单位面积质量的增加，其刺破强力和撕破强力逐渐增加，结合使用单位的实际应用情况，确定手提袋的两个实用性能指标要求如下：对于单位面积质量≥</w:t>
      </w:r>
      <w:r>
        <w:t>40 g/㎡</w:t>
      </w:r>
      <w:r>
        <w:rPr>
          <w:rFonts w:hint="eastAsia"/>
        </w:rPr>
        <w:t>的材料，要求其刺破强力≥</w:t>
      </w:r>
      <w:r>
        <w:t>2.0</w:t>
      </w:r>
      <w:r>
        <w:rPr>
          <w:rFonts w:hint="eastAsia"/>
        </w:rPr>
        <w:t>N，撕破强力纵向≥</w:t>
      </w:r>
      <w:r>
        <w:t>40</w:t>
      </w:r>
      <w:r>
        <w:rPr>
          <w:rFonts w:hint="eastAsia"/>
        </w:rPr>
        <w:t>N、横向≥</w:t>
      </w:r>
      <w:r>
        <w:t>20</w:t>
      </w:r>
      <w:r>
        <w:rPr>
          <w:rFonts w:hint="eastAsia"/>
        </w:rPr>
        <w:t>N；对于单位面积质量≥</w:t>
      </w:r>
      <w:r>
        <w:t>50 g/㎡</w:t>
      </w:r>
      <w:r>
        <w:rPr>
          <w:rFonts w:hint="eastAsia"/>
        </w:rPr>
        <w:t>的材料，要求其刺破强力≥</w:t>
      </w:r>
      <w:r>
        <w:t>2.5</w:t>
      </w:r>
      <w:r>
        <w:rPr>
          <w:rFonts w:hint="eastAsia"/>
        </w:rPr>
        <w:t>N，撕破强力纵向≥</w:t>
      </w:r>
      <w:r>
        <w:t>60</w:t>
      </w:r>
      <w:r>
        <w:rPr>
          <w:rFonts w:hint="eastAsia"/>
        </w:rPr>
        <w:t>N、横向≥</w:t>
      </w:r>
      <w:r>
        <w:t>30</w:t>
      </w:r>
      <w:r>
        <w:rPr>
          <w:rFonts w:hint="eastAsia"/>
        </w:rPr>
        <w:t>N；对于单位面积质量≥</w:t>
      </w:r>
      <w:r>
        <w:t>60 g/㎡</w:t>
      </w:r>
      <w:r>
        <w:rPr>
          <w:rFonts w:hint="eastAsia"/>
        </w:rPr>
        <w:t>的材料，要求其刺破强力≥</w:t>
      </w:r>
      <w:r>
        <w:t>3.0</w:t>
      </w:r>
      <w:r>
        <w:rPr>
          <w:rFonts w:hint="eastAsia"/>
        </w:rPr>
        <w:t>N，撕破强力纵向≥</w:t>
      </w:r>
      <w:r>
        <w:t>80</w:t>
      </w:r>
      <w:r>
        <w:rPr>
          <w:rFonts w:hint="eastAsia"/>
        </w:rPr>
        <w:t>N、横向≥</w:t>
      </w:r>
      <w:r>
        <w:t>40</w:t>
      </w:r>
      <w:r>
        <w:rPr>
          <w:rFonts w:hint="eastAsia"/>
        </w:rPr>
        <w:t>N。</w:t>
      </w:r>
    </w:p>
    <w:p>
      <w:pPr>
        <w:pStyle w:val="3"/>
        <w:numPr>
          <w:ilvl w:val="0"/>
          <w:numId w:val="4"/>
        </w:numPr>
        <w:spacing w:before="159" w:line="360" w:lineRule="auto"/>
      </w:pPr>
      <w:r>
        <w:rPr>
          <w:rFonts w:hint="eastAsia"/>
        </w:rPr>
        <w:t>试验方法</w:t>
      </w:r>
    </w:p>
    <w:p>
      <w:pPr>
        <w:pStyle w:val="5"/>
        <w:spacing w:before="26" w:line="360" w:lineRule="auto"/>
        <w:ind w:left="109" w:right="217" w:firstLine="419"/>
        <w:jc w:val="both"/>
        <w:rPr>
          <w:spacing w:val="-3"/>
          <w:szCs w:val="22"/>
        </w:rPr>
      </w:pPr>
      <w:r>
        <w:rPr>
          <w:rFonts w:hint="eastAsia"/>
        </w:rPr>
        <w:t>实验方法主要参照</w:t>
      </w:r>
      <w:r>
        <w:t>FZ/T 64035</w:t>
      </w:r>
      <w:r>
        <w:rPr>
          <w:spacing w:val="-3"/>
          <w:szCs w:val="22"/>
        </w:rPr>
        <w:t>-2014《非织造布购物袋》</w:t>
      </w:r>
      <w:r>
        <w:rPr>
          <w:rFonts w:hint="eastAsia"/>
          <w:spacing w:val="-3"/>
          <w:szCs w:val="22"/>
        </w:rPr>
        <w:t>中的方法，新增的3个项目中：荧光物的试验方法参考F</w:t>
      </w:r>
      <w:r>
        <w:rPr>
          <w:spacing w:val="-3"/>
          <w:szCs w:val="22"/>
        </w:rPr>
        <w:t>Z/T 64051-2014</w:t>
      </w:r>
      <w:r>
        <w:rPr>
          <w:rFonts w:hint="eastAsia"/>
          <w:spacing w:val="-3"/>
          <w:szCs w:val="22"/>
        </w:rPr>
        <w:t>《美妆用非织造布》中5</w:t>
      </w:r>
      <w:r>
        <w:rPr>
          <w:spacing w:val="-3"/>
          <w:szCs w:val="22"/>
        </w:rPr>
        <w:t>.8</w:t>
      </w:r>
      <w:r>
        <w:rPr>
          <w:rFonts w:hint="eastAsia"/>
          <w:spacing w:val="-3"/>
          <w:szCs w:val="22"/>
        </w:rPr>
        <w:t>的表述；刺破强力采用</w:t>
      </w:r>
      <w:r>
        <w:rPr>
          <w:spacing w:val="-3"/>
          <w:szCs w:val="22"/>
        </w:rPr>
        <w:t>GB/T 23318-2009</w:t>
      </w:r>
      <w:r>
        <w:rPr>
          <w:rFonts w:hint="eastAsia"/>
          <w:spacing w:val="-3"/>
          <w:szCs w:val="22"/>
        </w:rPr>
        <w:t>《纺织品</w:t>
      </w:r>
      <w:r>
        <w:rPr>
          <w:spacing w:val="-3"/>
          <w:szCs w:val="22"/>
        </w:rPr>
        <w:t xml:space="preserve"> 刺破强力的测定》</w:t>
      </w:r>
      <w:r>
        <w:rPr>
          <w:rFonts w:hint="eastAsia"/>
          <w:spacing w:val="-3"/>
          <w:szCs w:val="22"/>
        </w:rPr>
        <w:t>并根据可能碰到的极端情况，选择标准中尖端最锐利的顶杆A；撕破强力则采用</w:t>
      </w:r>
      <w:r>
        <w:rPr>
          <w:spacing w:val="-3"/>
          <w:szCs w:val="22"/>
        </w:rPr>
        <w:t>GB/T 3917.3-2009</w:t>
      </w:r>
      <w:r>
        <w:rPr>
          <w:rFonts w:hint="eastAsia"/>
          <w:spacing w:val="-3"/>
          <w:szCs w:val="22"/>
        </w:rPr>
        <w:t>《纺织品</w:t>
      </w:r>
      <w:r>
        <w:rPr>
          <w:spacing w:val="-3"/>
          <w:szCs w:val="22"/>
        </w:rPr>
        <w:t xml:space="preserve"> 织物撕破性能 第3部分：梯形试样撕破强力的测定》</w:t>
      </w:r>
      <w:r>
        <w:rPr>
          <w:rFonts w:hint="eastAsia"/>
          <w:spacing w:val="-3"/>
          <w:szCs w:val="22"/>
        </w:rPr>
        <w:t>，该方法修改采用</w:t>
      </w:r>
      <w:r>
        <w:rPr>
          <w:spacing w:val="-3"/>
          <w:szCs w:val="22"/>
        </w:rPr>
        <w:t>ISO 9073-4:1997</w:t>
      </w:r>
      <w:r>
        <w:rPr>
          <w:rFonts w:hint="eastAsia"/>
          <w:spacing w:val="-3"/>
          <w:szCs w:val="22"/>
        </w:rPr>
        <w:t>《纺织品</w:t>
      </w:r>
      <w:r>
        <w:rPr>
          <w:spacing w:val="-3"/>
          <w:szCs w:val="22"/>
        </w:rPr>
        <w:t xml:space="preserve"> 非织造布测试方法 第4部分：撕破强力的测定》</w:t>
      </w:r>
      <w:r>
        <w:rPr>
          <w:rFonts w:hint="eastAsia"/>
          <w:spacing w:val="-3"/>
          <w:szCs w:val="22"/>
        </w:rPr>
        <w:t>，是评估非织造布撕破性能的最常用方法。</w:t>
      </w:r>
    </w:p>
    <w:p>
      <w:pPr>
        <w:pStyle w:val="2"/>
        <w:spacing w:after="120" w:afterLines="50" w:line="360" w:lineRule="auto"/>
        <w:ind w:left="0"/>
        <w:jc w:val="both"/>
        <w:rPr>
          <w:rFonts w:asciiTheme="minorEastAsia" w:hAnsiTheme="minorEastAsia" w:eastAsiaTheme="minorEastAsia" w:cstheme="minorEastAsia"/>
          <w:w w:val="95"/>
        </w:rPr>
      </w:pPr>
      <w:r>
        <w:rPr>
          <w:rFonts w:hint="eastAsia" w:asciiTheme="minorEastAsia" w:hAnsiTheme="minorEastAsia" w:eastAsiaTheme="minorEastAsia" w:cstheme="minorEastAsia"/>
          <w:w w:val="95"/>
        </w:rPr>
        <w:t>四、与国内外同类标准水平的对比情况</w:t>
      </w:r>
    </w:p>
    <w:p>
      <w:pPr>
        <w:pStyle w:val="5"/>
        <w:spacing w:before="26" w:line="360" w:lineRule="auto"/>
        <w:ind w:left="141" w:leftChars="64" w:right="217" w:firstLine="527" w:firstLineChars="251"/>
      </w:pPr>
      <w:r>
        <w:rPr>
          <w:rFonts w:hint="eastAsia"/>
        </w:rPr>
        <w:t>目前，国外并无购物袋、手提袋的相关产品标准，仅我国有相关的</w:t>
      </w:r>
      <w:r>
        <w:t>FZ/T 64035</w:t>
      </w:r>
      <w:r>
        <w:rPr>
          <w:spacing w:val="-3"/>
          <w:szCs w:val="22"/>
        </w:rPr>
        <w:t>-2014《非织造布购物袋》</w:t>
      </w:r>
      <w:r>
        <w:rPr>
          <w:rFonts w:hint="eastAsia"/>
          <w:spacing w:val="-3"/>
          <w:szCs w:val="22"/>
        </w:rPr>
        <w:t>，该标准于8年前发布，当时并未考虑再生聚丙烯原料制备非织造购物袋的情形，因此本标准是针对该标准的有效补充，同时根据再生聚丙烯原料的实际情况和手提袋的具体应用情形，新增了三个考核指标及对应的试验方法。</w:t>
      </w:r>
    </w:p>
    <w:p>
      <w:pPr>
        <w:pStyle w:val="2"/>
        <w:spacing w:before="1" w:line="360" w:lineRule="auto"/>
        <w:ind w:left="0"/>
        <w:jc w:val="both"/>
        <w:rPr>
          <w:rFonts w:asciiTheme="minorEastAsia" w:hAnsiTheme="minorEastAsia" w:eastAsiaTheme="minorEastAsia" w:cstheme="minorEastAsia"/>
        </w:rPr>
      </w:pPr>
      <w:r>
        <w:rPr>
          <w:rFonts w:hint="eastAsia" w:asciiTheme="minorEastAsia" w:hAnsiTheme="minorEastAsia" w:eastAsiaTheme="minorEastAsia" w:cstheme="minorEastAsia"/>
        </w:rPr>
        <w:t>五、与有关标准的关系</w:t>
      </w:r>
    </w:p>
    <w:p>
      <w:pPr>
        <w:pStyle w:val="5"/>
        <w:spacing w:line="360" w:lineRule="auto"/>
        <w:ind w:left="529"/>
      </w:pPr>
      <w:r>
        <w:t>本标准与现行相关法律、法规、规章及相关标准协调一致。</w:t>
      </w:r>
    </w:p>
    <w:p>
      <w:pPr>
        <w:pStyle w:val="2"/>
        <w:spacing w:line="360" w:lineRule="auto"/>
        <w:ind w:left="0" w:right="1590"/>
        <w:jc w:val="both"/>
        <w:rPr>
          <w:rFonts w:asciiTheme="minorEastAsia" w:hAnsiTheme="minorEastAsia" w:eastAsiaTheme="minorEastAsia" w:cstheme="minorEastAsia"/>
        </w:rPr>
      </w:pPr>
      <w:r>
        <w:rPr>
          <w:rFonts w:hint="eastAsia" w:asciiTheme="minorEastAsia" w:hAnsiTheme="minorEastAsia" w:eastAsiaTheme="minorEastAsia" w:cstheme="minorEastAsia"/>
        </w:rPr>
        <w:t>六、重大分歧意见的处理经过和依据</w:t>
      </w:r>
    </w:p>
    <w:p>
      <w:pPr>
        <w:pStyle w:val="5"/>
        <w:spacing w:before="1" w:line="360" w:lineRule="auto"/>
        <w:ind w:left="529"/>
      </w:pPr>
      <w:r>
        <w:t>无。</w:t>
      </w:r>
    </w:p>
    <w:p>
      <w:pPr>
        <w:pStyle w:val="2"/>
        <w:spacing w:line="360" w:lineRule="auto"/>
        <w:ind w:left="0" w:right="1586"/>
        <w:jc w:val="both"/>
        <w:rPr>
          <w:rFonts w:asciiTheme="minorEastAsia" w:hAnsiTheme="minorEastAsia" w:eastAsiaTheme="minorEastAsia" w:cstheme="minorEastAsia"/>
        </w:rPr>
      </w:pPr>
      <w:r>
        <w:rPr>
          <w:rFonts w:hint="eastAsia" w:asciiTheme="minorEastAsia" w:hAnsiTheme="minorEastAsia" w:eastAsiaTheme="minorEastAsia" w:cstheme="minorEastAsia"/>
        </w:rPr>
        <w:t>七、其他</w:t>
      </w:r>
    </w:p>
    <w:p>
      <w:pPr>
        <w:pStyle w:val="5"/>
        <w:spacing w:line="360" w:lineRule="auto"/>
        <w:ind w:left="529"/>
      </w:pPr>
      <w:r>
        <w:t>本标准为新制定标准，不代替任何标准。</w:t>
      </w:r>
    </w:p>
    <w:sectPr>
      <w:footerReference r:id="rId3" w:type="default"/>
      <w:pgSz w:w="11910" w:h="16850"/>
      <w:pgMar w:top="1340" w:right="1360" w:bottom="1180" w:left="1480" w:header="0" w:footer="988" w:gutter="0"/>
      <w:cols w:space="720" w:num="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20"/>
        <w:lang w:val="en-US"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ind w:left="109" w:hanging="527"/>
      </w:pPr>
      <w:rPr>
        <w:rFonts w:hint="default" w:ascii="宋体" w:hAnsi="宋体" w:eastAsia="宋体" w:cs="宋体"/>
        <w:spacing w:val="-10"/>
        <w:w w:val="100"/>
        <w:sz w:val="19"/>
        <w:szCs w:val="19"/>
        <w:lang w:val="zh-CN" w:eastAsia="zh-CN" w:bidi="zh-CN"/>
      </w:rPr>
    </w:lvl>
    <w:lvl w:ilvl="1" w:tentative="0">
      <w:start w:val="0"/>
      <w:numFmt w:val="bullet"/>
      <w:lvlText w:val="•"/>
      <w:lvlJc w:val="left"/>
      <w:pPr>
        <w:ind w:left="996" w:hanging="527"/>
      </w:pPr>
      <w:rPr>
        <w:rFonts w:hint="default"/>
        <w:lang w:val="zh-CN" w:eastAsia="zh-CN" w:bidi="zh-CN"/>
      </w:rPr>
    </w:lvl>
    <w:lvl w:ilvl="2" w:tentative="0">
      <w:start w:val="0"/>
      <w:numFmt w:val="bullet"/>
      <w:lvlText w:val="•"/>
      <w:lvlJc w:val="left"/>
      <w:pPr>
        <w:ind w:left="1893" w:hanging="527"/>
      </w:pPr>
      <w:rPr>
        <w:rFonts w:hint="default"/>
        <w:lang w:val="zh-CN" w:eastAsia="zh-CN" w:bidi="zh-CN"/>
      </w:rPr>
    </w:lvl>
    <w:lvl w:ilvl="3" w:tentative="0">
      <w:start w:val="0"/>
      <w:numFmt w:val="bullet"/>
      <w:lvlText w:val="•"/>
      <w:lvlJc w:val="left"/>
      <w:pPr>
        <w:ind w:left="2789" w:hanging="527"/>
      </w:pPr>
      <w:rPr>
        <w:rFonts w:hint="default"/>
        <w:lang w:val="zh-CN" w:eastAsia="zh-CN" w:bidi="zh-CN"/>
      </w:rPr>
    </w:lvl>
    <w:lvl w:ilvl="4" w:tentative="0">
      <w:start w:val="0"/>
      <w:numFmt w:val="bullet"/>
      <w:lvlText w:val="•"/>
      <w:lvlJc w:val="left"/>
      <w:pPr>
        <w:ind w:left="3686" w:hanging="527"/>
      </w:pPr>
      <w:rPr>
        <w:rFonts w:hint="default"/>
        <w:lang w:val="zh-CN" w:eastAsia="zh-CN" w:bidi="zh-CN"/>
      </w:rPr>
    </w:lvl>
    <w:lvl w:ilvl="5" w:tentative="0">
      <w:start w:val="0"/>
      <w:numFmt w:val="bullet"/>
      <w:lvlText w:val="•"/>
      <w:lvlJc w:val="left"/>
      <w:pPr>
        <w:ind w:left="4583" w:hanging="527"/>
      </w:pPr>
      <w:rPr>
        <w:rFonts w:hint="default"/>
        <w:lang w:val="zh-CN" w:eastAsia="zh-CN" w:bidi="zh-CN"/>
      </w:rPr>
    </w:lvl>
    <w:lvl w:ilvl="6" w:tentative="0">
      <w:start w:val="0"/>
      <w:numFmt w:val="bullet"/>
      <w:lvlText w:val="•"/>
      <w:lvlJc w:val="left"/>
      <w:pPr>
        <w:ind w:left="5479" w:hanging="527"/>
      </w:pPr>
      <w:rPr>
        <w:rFonts w:hint="default"/>
        <w:lang w:val="zh-CN" w:eastAsia="zh-CN" w:bidi="zh-CN"/>
      </w:rPr>
    </w:lvl>
    <w:lvl w:ilvl="7" w:tentative="0">
      <w:start w:val="0"/>
      <w:numFmt w:val="bullet"/>
      <w:lvlText w:val="•"/>
      <w:lvlJc w:val="left"/>
      <w:pPr>
        <w:ind w:left="6376" w:hanging="527"/>
      </w:pPr>
      <w:rPr>
        <w:rFonts w:hint="default"/>
        <w:lang w:val="zh-CN" w:eastAsia="zh-CN" w:bidi="zh-CN"/>
      </w:rPr>
    </w:lvl>
    <w:lvl w:ilvl="8" w:tentative="0">
      <w:start w:val="0"/>
      <w:numFmt w:val="bullet"/>
      <w:lvlText w:val="•"/>
      <w:lvlJc w:val="left"/>
      <w:pPr>
        <w:ind w:left="7273" w:hanging="527"/>
      </w:pPr>
      <w:rPr>
        <w:rFonts w:hint="default"/>
        <w:lang w:val="zh-CN" w:eastAsia="zh-CN" w:bidi="zh-CN"/>
      </w:rPr>
    </w:lvl>
  </w:abstractNum>
  <w:abstractNum w:abstractNumId="1">
    <w:nsid w:val="EAB68BEA"/>
    <w:multiLevelType w:val="singleLevel"/>
    <w:tmpl w:val="EAB68BEA"/>
    <w:lvl w:ilvl="0" w:tentative="0">
      <w:start w:val="1"/>
      <w:numFmt w:val="chineseCounting"/>
      <w:suff w:val="nothing"/>
      <w:lvlText w:val="（%1）"/>
      <w:lvlJc w:val="left"/>
      <w:pPr>
        <w:ind w:left="0" w:firstLine="0"/>
      </w:pPr>
      <w:rPr>
        <w:rFonts w:hint="eastAsia"/>
      </w:rPr>
    </w:lvl>
  </w:abstractNum>
  <w:abstractNum w:abstractNumId="2">
    <w:nsid w:val="04370662"/>
    <w:multiLevelType w:val="singleLevel"/>
    <w:tmpl w:val="04370662"/>
    <w:lvl w:ilvl="0" w:tentative="0">
      <w:start w:val="3"/>
      <w:numFmt w:val="chineseCounting"/>
      <w:suff w:val="space"/>
      <w:lvlText w:val="(%1)"/>
      <w:lvlJc w:val="left"/>
      <w:rPr>
        <w:rFonts w:hint="eastAsia"/>
      </w:rPr>
    </w:lvl>
  </w:abstractNum>
  <w:abstractNum w:abstractNumId="3">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50CE428F"/>
    <w:multiLevelType w:val="multilevel"/>
    <w:tmpl w:val="50CE428F"/>
    <w:lvl w:ilvl="0" w:tentative="0">
      <w:start w:val="1"/>
      <w:numFmt w:val="decimal"/>
      <w:lvlText w:val="%1."/>
      <w:lvlJc w:val="left"/>
      <w:pPr>
        <w:ind w:left="948" w:hanging="420"/>
      </w:pPr>
    </w:lvl>
    <w:lvl w:ilvl="1" w:tentative="0">
      <w:start w:val="1"/>
      <w:numFmt w:val="lowerLetter"/>
      <w:lvlText w:val="%2)"/>
      <w:lvlJc w:val="left"/>
      <w:pPr>
        <w:ind w:left="1368" w:hanging="420"/>
      </w:pPr>
    </w:lvl>
    <w:lvl w:ilvl="2" w:tentative="0">
      <w:start w:val="1"/>
      <w:numFmt w:val="lowerRoman"/>
      <w:lvlText w:val="%3."/>
      <w:lvlJc w:val="right"/>
      <w:pPr>
        <w:ind w:left="1788" w:hanging="420"/>
      </w:pPr>
    </w:lvl>
    <w:lvl w:ilvl="3" w:tentative="0">
      <w:start w:val="1"/>
      <w:numFmt w:val="decimal"/>
      <w:lvlText w:val="%4."/>
      <w:lvlJc w:val="left"/>
      <w:pPr>
        <w:ind w:left="2208" w:hanging="420"/>
      </w:pPr>
    </w:lvl>
    <w:lvl w:ilvl="4" w:tentative="0">
      <w:start w:val="1"/>
      <w:numFmt w:val="lowerLetter"/>
      <w:lvlText w:val="%5)"/>
      <w:lvlJc w:val="left"/>
      <w:pPr>
        <w:ind w:left="2628" w:hanging="420"/>
      </w:pPr>
    </w:lvl>
    <w:lvl w:ilvl="5" w:tentative="0">
      <w:start w:val="1"/>
      <w:numFmt w:val="lowerRoman"/>
      <w:lvlText w:val="%6."/>
      <w:lvlJc w:val="right"/>
      <w:pPr>
        <w:ind w:left="3048" w:hanging="420"/>
      </w:pPr>
    </w:lvl>
    <w:lvl w:ilvl="6" w:tentative="0">
      <w:start w:val="1"/>
      <w:numFmt w:val="decimal"/>
      <w:lvlText w:val="%7."/>
      <w:lvlJc w:val="left"/>
      <w:pPr>
        <w:ind w:left="3468" w:hanging="420"/>
      </w:pPr>
    </w:lvl>
    <w:lvl w:ilvl="7" w:tentative="0">
      <w:start w:val="1"/>
      <w:numFmt w:val="lowerLetter"/>
      <w:lvlText w:val="%8)"/>
      <w:lvlJc w:val="left"/>
      <w:pPr>
        <w:ind w:left="3888" w:hanging="420"/>
      </w:pPr>
    </w:lvl>
    <w:lvl w:ilvl="8" w:tentative="0">
      <w:start w:val="1"/>
      <w:numFmt w:val="lowerRoman"/>
      <w:lvlText w:val="%9."/>
      <w:lvlJc w:val="right"/>
      <w:pPr>
        <w:ind w:left="4308" w:hanging="42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54"/>
    <w:rsid w:val="00002878"/>
    <w:rsid w:val="000071EC"/>
    <w:rsid w:val="00007BCE"/>
    <w:rsid w:val="00010C33"/>
    <w:rsid w:val="00010E18"/>
    <w:rsid w:val="00021D68"/>
    <w:rsid w:val="000409C1"/>
    <w:rsid w:val="00041CB4"/>
    <w:rsid w:val="00041FA7"/>
    <w:rsid w:val="00043DB7"/>
    <w:rsid w:val="0004711E"/>
    <w:rsid w:val="000500EA"/>
    <w:rsid w:val="000567F5"/>
    <w:rsid w:val="00062DE5"/>
    <w:rsid w:val="000653BE"/>
    <w:rsid w:val="00072F75"/>
    <w:rsid w:val="00075765"/>
    <w:rsid w:val="00075AC6"/>
    <w:rsid w:val="000810C7"/>
    <w:rsid w:val="00092330"/>
    <w:rsid w:val="00097118"/>
    <w:rsid w:val="000B270D"/>
    <w:rsid w:val="000C0923"/>
    <w:rsid w:val="000C34B3"/>
    <w:rsid w:val="000D648D"/>
    <w:rsid w:val="000D74E2"/>
    <w:rsid w:val="000E369F"/>
    <w:rsid w:val="000E36B0"/>
    <w:rsid w:val="000E498D"/>
    <w:rsid w:val="000E66F8"/>
    <w:rsid w:val="000F600A"/>
    <w:rsid w:val="00101E19"/>
    <w:rsid w:val="00102296"/>
    <w:rsid w:val="00105A55"/>
    <w:rsid w:val="001112D8"/>
    <w:rsid w:val="00111E7D"/>
    <w:rsid w:val="00130F7E"/>
    <w:rsid w:val="00131DFA"/>
    <w:rsid w:val="00142D32"/>
    <w:rsid w:val="00144B94"/>
    <w:rsid w:val="001458BB"/>
    <w:rsid w:val="0016363C"/>
    <w:rsid w:val="001657AF"/>
    <w:rsid w:val="00166719"/>
    <w:rsid w:val="00172B83"/>
    <w:rsid w:val="00174B86"/>
    <w:rsid w:val="00181B66"/>
    <w:rsid w:val="001834D5"/>
    <w:rsid w:val="001B3975"/>
    <w:rsid w:val="001B608A"/>
    <w:rsid w:val="001B7230"/>
    <w:rsid w:val="001B7BD2"/>
    <w:rsid w:val="001B7BFD"/>
    <w:rsid w:val="001C05FE"/>
    <w:rsid w:val="001C427F"/>
    <w:rsid w:val="001C6EEB"/>
    <w:rsid w:val="001C7A71"/>
    <w:rsid w:val="001D477B"/>
    <w:rsid w:val="0020199C"/>
    <w:rsid w:val="0021009B"/>
    <w:rsid w:val="00216C66"/>
    <w:rsid w:val="002229A4"/>
    <w:rsid w:val="002245E4"/>
    <w:rsid w:val="002259C2"/>
    <w:rsid w:val="0023407F"/>
    <w:rsid w:val="00235BAD"/>
    <w:rsid w:val="0023676E"/>
    <w:rsid w:val="00236FF1"/>
    <w:rsid w:val="002379DC"/>
    <w:rsid w:val="002406A9"/>
    <w:rsid w:val="002428AF"/>
    <w:rsid w:val="0025013C"/>
    <w:rsid w:val="002518A5"/>
    <w:rsid w:val="00255DD2"/>
    <w:rsid w:val="00257286"/>
    <w:rsid w:val="00264849"/>
    <w:rsid w:val="00272996"/>
    <w:rsid w:val="00274D51"/>
    <w:rsid w:val="00277E01"/>
    <w:rsid w:val="00280A31"/>
    <w:rsid w:val="002832EB"/>
    <w:rsid w:val="00284472"/>
    <w:rsid w:val="00286D22"/>
    <w:rsid w:val="002A2696"/>
    <w:rsid w:val="002A52CA"/>
    <w:rsid w:val="002B18ED"/>
    <w:rsid w:val="002B5F9A"/>
    <w:rsid w:val="002B7B46"/>
    <w:rsid w:val="002C4202"/>
    <w:rsid w:val="002C5E9E"/>
    <w:rsid w:val="002D016F"/>
    <w:rsid w:val="002D0633"/>
    <w:rsid w:val="002D0CA2"/>
    <w:rsid w:val="002D1DA5"/>
    <w:rsid w:val="002D248F"/>
    <w:rsid w:val="002D3A8C"/>
    <w:rsid w:val="002D6C5A"/>
    <w:rsid w:val="002F56F4"/>
    <w:rsid w:val="0030155A"/>
    <w:rsid w:val="003027EA"/>
    <w:rsid w:val="0030343F"/>
    <w:rsid w:val="00304283"/>
    <w:rsid w:val="00306B31"/>
    <w:rsid w:val="00317AB1"/>
    <w:rsid w:val="00322744"/>
    <w:rsid w:val="003239CB"/>
    <w:rsid w:val="00336AC0"/>
    <w:rsid w:val="0034424E"/>
    <w:rsid w:val="0035106C"/>
    <w:rsid w:val="0036392F"/>
    <w:rsid w:val="00370A67"/>
    <w:rsid w:val="003735A4"/>
    <w:rsid w:val="00374E71"/>
    <w:rsid w:val="003A681B"/>
    <w:rsid w:val="003B0BCD"/>
    <w:rsid w:val="003B3E6D"/>
    <w:rsid w:val="003B5382"/>
    <w:rsid w:val="003C1D65"/>
    <w:rsid w:val="003C1FE2"/>
    <w:rsid w:val="003C3890"/>
    <w:rsid w:val="003C45CB"/>
    <w:rsid w:val="003C728F"/>
    <w:rsid w:val="003D7CF7"/>
    <w:rsid w:val="003E2E79"/>
    <w:rsid w:val="003E5D45"/>
    <w:rsid w:val="003F1814"/>
    <w:rsid w:val="003F3282"/>
    <w:rsid w:val="003F333A"/>
    <w:rsid w:val="003F73E1"/>
    <w:rsid w:val="004026B4"/>
    <w:rsid w:val="004039DA"/>
    <w:rsid w:val="00417EF9"/>
    <w:rsid w:val="00431570"/>
    <w:rsid w:val="00434338"/>
    <w:rsid w:val="00435A06"/>
    <w:rsid w:val="00437AF0"/>
    <w:rsid w:val="00443E5B"/>
    <w:rsid w:val="00451368"/>
    <w:rsid w:val="0045440C"/>
    <w:rsid w:val="0046338A"/>
    <w:rsid w:val="00465C13"/>
    <w:rsid w:val="00475736"/>
    <w:rsid w:val="00476035"/>
    <w:rsid w:val="0047679A"/>
    <w:rsid w:val="004770D9"/>
    <w:rsid w:val="0049135C"/>
    <w:rsid w:val="00497CCC"/>
    <w:rsid w:val="004B3F84"/>
    <w:rsid w:val="004B540B"/>
    <w:rsid w:val="004B5FA1"/>
    <w:rsid w:val="004C3D45"/>
    <w:rsid w:val="004D36E0"/>
    <w:rsid w:val="004D4C43"/>
    <w:rsid w:val="004E1CEF"/>
    <w:rsid w:val="004F6AAB"/>
    <w:rsid w:val="00502CC0"/>
    <w:rsid w:val="005039E6"/>
    <w:rsid w:val="005061E6"/>
    <w:rsid w:val="00512820"/>
    <w:rsid w:val="00515C61"/>
    <w:rsid w:val="00524B7F"/>
    <w:rsid w:val="0053185F"/>
    <w:rsid w:val="00545517"/>
    <w:rsid w:val="00547492"/>
    <w:rsid w:val="00553FB6"/>
    <w:rsid w:val="00566446"/>
    <w:rsid w:val="00571E28"/>
    <w:rsid w:val="005840B4"/>
    <w:rsid w:val="00584C33"/>
    <w:rsid w:val="00586269"/>
    <w:rsid w:val="00587F05"/>
    <w:rsid w:val="005928CD"/>
    <w:rsid w:val="005A2261"/>
    <w:rsid w:val="005A5950"/>
    <w:rsid w:val="005B086D"/>
    <w:rsid w:val="005B20D6"/>
    <w:rsid w:val="005B3DC2"/>
    <w:rsid w:val="005C2ADC"/>
    <w:rsid w:val="005C3679"/>
    <w:rsid w:val="005C3976"/>
    <w:rsid w:val="005C51CA"/>
    <w:rsid w:val="005C5419"/>
    <w:rsid w:val="005C7864"/>
    <w:rsid w:val="005E1D00"/>
    <w:rsid w:val="005F478C"/>
    <w:rsid w:val="005F4960"/>
    <w:rsid w:val="00600876"/>
    <w:rsid w:val="0061036C"/>
    <w:rsid w:val="00614AA7"/>
    <w:rsid w:val="00614E89"/>
    <w:rsid w:val="00617C30"/>
    <w:rsid w:val="00624EB2"/>
    <w:rsid w:val="00636733"/>
    <w:rsid w:val="00654454"/>
    <w:rsid w:val="00660746"/>
    <w:rsid w:val="00664F78"/>
    <w:rsid w:val="00666050"/>
    <w:rsid w:val="006709C3"/>
    <w:rsid w:val="00674060"/>
    <w:rsid w:val="00682B02"/>
    <w:rsid w:val="00686A0F"/>
    <w:rsid w:val="00687CFE"/>
    <w:rsid w:val="00692285"/>
    <w:rsid w:val="0069760A"/>
    <w:rsid w:val="006A79B9"/>
    <w:rsid w:val="006B39FD"/>
    <w:rsid w:val="006C1F1E"/>
    <w:rsid w:val="006C4BB9"/>
    <w:rsid w:val="006D0DC5"/>
    <w:rsid w:val="006D2A80"/>
    <w:rsid w:val="006D33B8"/>
    <w:rsid w:val="006D4507"/>
    <w:rsid w:val="006D5E4F"/>
    <w:rsid w:val="006D7A82"/>
    <w:rsid w:val="006F112C"/>
    <w:rsid w:val="00702BC9"/>
    <w:rsid w:val="0070620F"/>
    <w:rsid w:val="00707F48"/>
    <w:rsid w:val="00713A36"/>
    <w:rsid w:val="00716F17"/>
    <w:rsid w:val="0072226F"/>
    <w:rsid w:val="00727471"/>
    <w:rsid w:val="007311DF"/>
    <w:rsid w:val="00734B67"/>
    <w:rsid w:val="00736008"/>
    <w:rsid w:val="00740FEA"/>
    <w:rsid w:val="00742EF8"/>
    <w:rsid w:val="00745622"/>
    <w:rsid w:val="00753BC8"/>
    <w:rsid w:val="00755F93"/>
    <w:rsid w:val="0077079C"/>
    <w:rsid w:val="00777A25"/>
    <w:rsid w:val="00777CC1"/>
    <w:rsid w:val="00784BF2"/>
    <w:rsid w:val="0078576C"/>
    <w:rsid w:val="0078776F"/>
    <w:rsid w:val="007929E9"/>
    <w:rsid w:val="007944E9"/>
    <w:rsid w:val="007A2175"/>
    <w:rsid w:val="007A52A3"/>
    <w:rsid w:val="007B61B6"/>
    <w:rsid w:val="007C3036"/>
    <w:rsid w:val="007C30EF"/>
    <w:rsid w:val="007E14AC"/>
    <w:rsid w:val="007E3AFD"/>
    <w:rsid w:val="007E50EA"/>
    <w:rsid w:val="007F069F"/>
    <w:rsid w:val="007F4DCE"/>
    <w:rsid w:val="007F5825"/>
    <w:rsid w:val="00805ABC"/>
    <w:rsid w:val="00812403"/>
    <w:rsid w:val="008130CE"/>
    <w:rsid w:val="00820CDA"/>
    <w:rsid w:val="0082172D"/>
    <w:rsid w:val="0082542A"/>
    <w:rsid w:val="00825C1A"/>
    <w:rsid w:val="00830A20"/>
    <w:rsid w:val="00833F4F"/>
    <w:rsid w:val="0083411A"/>
    <w:rsid w:val="00835ED0"/>
    <w:rsid w:val="008411B1"/>
    <w:rsid w:val="0084306F"/>
    <w:rsid w:val="00847019"/>
    <w:rsid w:val="0085270C"/>
    <w:rsid w:val="00854383"/>
    <w:rsid w:val="008579CC"/>
    <w:rsid w:val="008641A5"/>
    <w:rsid w:val="00881A9B"/>
    <w:rsid w:val="008864E7"/>
    <w:rsid w:val="00886DA7"/>
    <w:rsid w:val="008938FA"/>
    <w:rsid w:val="008960C6"/>
    <w:rsid w:val="008A296E"/>
    <w:rsid w:val="008A2B10"/>
    <w:rsid w:val="008A589F"/>
    <w:rsid w:val="008C28FD"/>
    <w:rsid w:val="008C35CD"/>
    <w:rsid w:val="008C7626"/>
    <w:rsid w:val="008F66BC"/>
    <w:rsid w:val="00906768"/>
    <w:rsid w:val="009103CD"/>
    <w:rsid w:val="00913E1A"/>
    <w:rsid w:val="00916034"/>
    <w:rsid w:val="00925315"/>
    <w:rsid w:val="00930C90"/>
    <w:rsid w:val="00936DB3"/>
    <w:rsid w:val="0095204B"/>
    <w:rsid w:val="009537CF"/>
    <w:rsid w:val="00953872"/>
    <w:rsid w:val="00954EEF"/>
    <w:rsid w:val="009554E6"/>
    <w:rsid w:val="00955B28"/>
    <w:rsid w:val="00964E25"/>
    <w:rsid w:val="00964E64"/>
    <w:rsid w:val="00974D49"/>
    <w:rsid w:val="009924B5"/>
    <w:rsid w:val="0099373C"/>
    <w:rsid w:val="009B1E7C"/>
    <w:rsid w:val="009B68BC"/>
    <w:rsid w:val="009D65C0"/>
    <w:rsid w:val="009D7BFF"/>
    <w:rsid w:val="009E2771"/>
    <w:rsid w:val="009E3C5A"/>
    <w:rsid w:val="009E6CC7"/>
    <w:rsid w:val="009F3180"/>
    <w:rsid w:val="009F3451"/>
    <w:rsid w:val="009F68B3"/>
    <w:rsid w:val="00A179A0"/>
    <w:rsid w:val="00A17DD4"/>
    <w:rsid w:val="00A27914"/>
    <w:rsid w:val="00A364D6"/>
    <w:rsid w:val="00A414AB"/>
    <w:rsid w:val="00A45FAD"/>
    <w:rsid w:val="00A46607"/>
    <w:rsid w:val="00A479AD"/>
    <w:rsid w:val="00A50520"/>
    <w:rsid w:val="00A50E51"/>
    <w:rsid w:val="00A53002"/>
    <w:rsid w:val="00A534C1"/>
    <w:rsid w:val="00A56900"/>
    <w:rsid w:val="00A62806"/>
    <w:rsid w:val="00A6340D"/>
    <w:rsid w:val="00A66E5D"/>
    <w:rsid w:val="00A71AEE"/>
    <w:rsid w:val="00A765E1"/>
    <w:rsid w:val="00A81D90"/>
    <w:rsid w:val="00A82093"/>
    <w:rsid w:val="00A91DE3"/>
    <w:rsid w:val="00AA1F84"/>
    <w:rsid w:val="00AA4D2A"/>
    <w:rsid w:val="00AB4A73"/>
    <w:rsid w:val="00AB63B9"/>
    <w:rsid w:val="00AC2C8B"/>
    <w:rsid w:val="00AD122A"/>
    <w:rsid w:val="00AD452C"/>
    <w:rsid w:val="00AE15F6"/>
    <w:rsid w:val="00AE43EE"/>
    <w:rsid w:val="00B023C4"/>
    <w:rsid w:val="00B0402A"/>
    <w:rsid w:val="00B06D14"/>
    <w:rsid w:val="00B07115"/>
    <w:rsid w:val="00B075B6"/>
    <w:rsid w:val="00B123FB"/>
    <w:rsid w:val="00B1326A"/>
    <w:rsid w:val="00B13558"/>
    <w:rsid w:val="00B173BB"/>
    <w:rsid w:val="00B22F92"/>
    <w:rsid w:val="00B35C99"/>
    <w:rsid w:val="00B436A5"/>
    <w:rsid w:val="00B52FD1"/>
    <w:rsid w:val="00B62284"/>
    <w:rsid w:val="00B76DA3"/>
    <w:rsid w:val="00B77C10"/>
    <w:rsid w:val="00B8257A"/>
    <w:rsid w:val="00B82EC8"/>
    <w:rsid w:val="00B8482A"/>
    <w:rsid w:val="00B86DC5"/>
    <w:rsid w:val="00B87E29"/>
    <w:rsid w:val="00B92608"/>
    <w:rsid w:val="00BA68C3"/>
    <w:rsid w:val="00BC349D"/>
    <w:rsid w:val="00BC4ED4"/>
    <w:rsid w:val="00BD3D01"/>
    <w:rsid w:val="00BD4909"/>
    <w:rsid w:val="00BE45B7"/>
    <w:rsid w:val="00BF3470"/>
    <w:rsid w:val="00C00895"/>
    <w:rsid w:val="00C07EDD"/>
    <w:rsid w:val="00C10221"/>
    <w:rsid w:val="00C17A32"/>
    <w:rsid w:val="00C32451"/>
    <w:rsid w:val="00C32556"/>
    <w:rsid w:val="00C357B5"/>
    <w:rsid w:val="00C40169"/>
    <w:rsid w:val="00C41B3C"/>
    <w:rsid w:val="00C440F9"/>
    <w:rsid w:val="00C44368"/>
    <w:rsid w:val="00C47358"/>
    <w:rsid w:val="00C503BB"/>
    <w:rsid w:val="00C50580"/>
    <w:rsid w:val="00C55B04"/>
    <w:rsid w:val="00C60B18"/>
    <w:rsid w:val="00C701E2"/>
    <w:rsid w:val="00C803C1"/>
    <w:rsid w:val="00C9427F"/>
    <w:rsid w:val="00CA2E9D"/>
    <w:rsid w:val="00CA49DB"/>
    <w:rsid w:val="00CB1D31"/>
    <w:rsid w:val="00CB1FE6"/>
    <w:rsid w:val="00CC0484"/>
    <w:rsid w:val="00CC2FF7"/>
    <w:rsid w:val="00CD3EFB"/>
    <w:rsid w:val="00CE255C"/>
    <w:rsid w:val="00CE6870"/>
    <w:rsid w:val="00CE6BE8"/>
    <w:rsid w:val="00CF6989"/>
    <w:rsid w:val="00D028E2"/>
    <w:rsid w:val="00D149F9"/>
    <w:rsid w:val="00D1675F"/>
    <w:rsid w:val="00D17D53"/>
    <w:rsid w:val="00D33AC0"/>
    <w:rsid w:val="00D369A0"/>
    <w:rsid w:val="00D4368B"/>
    <w:rsid w:val="00D44A8A"/>
    <w:rsid w:val="00D52027"/>
    <w:rsid w:val="00D70D39"/>
    <w:rsid w:val="00D840D1"/>
    <w:rsid w:val="00D852BE"/>
    <w:rsid w:val="00D85499"/>
    <w:rsid w:val="00D9217E"/>
    <w:rsid w:val="00DA3181"/>
    <w:rsid w:val="00DA594F"/>
    <w:rsid w:val="00DA5AF7"/>
    <w:rsid w:val="00DD147E"/>
    <w:rsid w:val="00DD1E56"/>
    <w:rsid w:val="00DD2AED"/>
    <w:rsid w:val="00DE0484"/>
    <w:rsid w:val="00DE091C"/>
    <w:rsid w:val="00DF0BCA"/>
    <w:rsid w:val="00DF3012"/>
    <w:rsid w:val="00E20B31"/>
    <w:rsid w:val="00E22D0A"/>
    <w:rsid w:val="00E44ADD"/>
    <w:rsid w:val="00E44D9B"/>
    <w:rsid w:val="00E45638"/>
    <w:rsid w:val="00E47A50"/>
    <w:rsid w:val="00E55E6F"/>
    <w:rsid w:val="00E6081E"/>
    <w:rsid w:val="00E60D6C"/>
    <w:rsid w:val="00E6619B"/>
    <w:rsid w:val="00E665D5"/>
    <w:rsid w:val="00E73D27"/>
    <w:rsid w:val="00E73EE2"/>
    <w:rsid w:val="00E85212"/>
    <w:rsid w:val="00E85AD1"/>
    <w:rsid w:val="00E85F38"/>
    <w:rsid w:val="00E9071C"/>
    <w:rsid w:val="00E92DD7"/>
    <w:rsid w:val="00E94718"/>
    <w:rsid w:val="00E95944"/>
    <w:rsid w:val="00E974D9"/>
    <w:rsid w:val="00E974F3"/>
    <w:rsid w:val="00EA0998"/>
    <w:rsid w:val="00EA0CBB"/>
    <w:rsid w:val="00EA30D7"/>
    <w:rsid w:val="00EA4FAD"/>
    <w:rsid w:val="00EB01C3"/>
    <w:rsid w:val="00EB03FE"/>
    <w:rsid w:val="00EB1458"/>
    <w:rsid w:val="00EB3D9B"/>
    <w:rsid w:val="00EC30C0"/>
    <w:rsid w:val="00ED3E03"/>
    <w:rsid w:val="00ED48D6"/>
    <w:rsid w:val="00EE1469"/>
    <w:rsid w:val="00EE5A69"/>
    <w:rsid w:val="00F00453"/>
    <w:rsid w:val="00F02462"/>
    <w:rsid w:val="00F027CA"/>
    <w:rsid w:val="00F07053"/>
    <w:rsid w:val="00F17C44"/>
    <w:rsid w:val="00F235FB"/>
    <w:rsid w:val="00F25736"/>
    <w:rsid w:val="00F30046"/>
    <w:rsid w:val="00F301E2"/>
    <w:rsid w:val="00F40493"/>
    <w:rsid w:val="00F520D1"/>
    <w:rsid w:val="00F532D4"/>
    <w:rsid w:val="00F60874"/>
    <w:rsid w:val="00F645C4"/>
    <w:rsid w:val="00F666AF"/>
    <w:rsid w:val="00F83299"/>
    <w:rsid w:val="00F87553"/>
    <w:rsid w:val="00F92327"/>
    <w:rsid w:val="00F95FB5"/>
    <w:rsid w:val="00FA0531"/>
    <w:rsid w:val="00FB2479"/>
    <w:rsid w:val="00FB2B48"/>
    <w:rsid w:val="00FB5DDE"/>
    <w:rsid w:val="00FC2E25"/>
    <w:rsid w:val="00FC5625"/>
    <w:rsid w:val="00FD0FF0"/>
    <w:rsid w:val="00FD5E46"/>
    <w:rsid w:val="043F4954"/>
    <w:rsid w:val="085971E4"/>
    <w:rsid w:val="08EF68B3"/>
    <w:rsid w:val="17822EE5"/>
    <w:rsid w:val="1C665D41"/>
    <w:rsid w:val="1D456A5E"/>
    <w:rsid w:val="1DCB0FCA"/>
    <w:rsid w:val="1F5113E3"/>
    <w:rsid w:val="21FF60D9"/>
    <w:rsid w:val="24376673"/>
    <w:rsid w:val="28B00A96"/>
    <w:rsid w:val="29DD311A"/>
    <w:rsid w:val="2CBE6762"/>
    <w:rsid w:val="2D9106C4"/>
    <w:rsid w:val="33B063DE"/>
    <w:rsid w:val="34AC7B99"/>
    <w:rsid w:val="3719420B"/>
    <w:rsid w:val="3E4513F3"/>
    <w:rsid w:val="3EEB2374"/>
    <w:rsid w:val="4DE90052"/>
    <w:rsid w:val="59DF617E"/>
    <w:rsid w:val="63116DF1"/>
    <w:rsid w:val="64774EFE"/>
    <w:rsid w:val="67CD3EB5"/>
    <w:rsid w:val="6C0431AF"/>
    <w:rsid w:val="7080506D"/>
    <w:rsid w:val="71C82992"/>
    <w:rsid w:val="72982A8F"/>
    <w:rsid w:val="77B95923"/>
    <w:rsid w:val="789731E5"/>
    <w:rsid w:val="7C1C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1473" w:right="1587"/>
      <w:jc w:val="center"/>
      <w:outlineLvl w:val="0"/>
    </w:pPr>
    <w:rPr>
      <w:rFonts w:ascii="黑体" w:hAnsi="黑体" w:eastAsia="黑体" w:cs="黑体"/>
      <w:b/>
      <w:bCs/>
      <w:sz w:val="24"/>
      <w:szCs w:val="24"/>
    </w:rPr>
  </w:style>
  <w:style w:type="paragraph" w:styleId="3">
    <w:name w:val="heading 2"/>
    <w:basedOn w:val="1"/>
    <w:next w:val="1"/>
    <w:qFormat/>
    <w:uiPriority w:val="1"/>
    <w:pPr>
      <w:ind w:left="531"/>
      <w:outlineLvl w:val="1"/>
    </w:pPr>
    <w:rPr>
      <w:b/>
      <w:bCs/>
      <w:sz w:val="21"/>
      <w:szCs w:val="21"/>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nhideWhenUsed/>
    <w:qFormat/>
    <w:uiPriority w:val="99"/>
    <w:pPr>
      <w:autoSpaceDE/>
      <w:autoSpaceDN/>
    </w:pPr>
    <w:rPr>
      <w:rFonts w:ascii="Times New Roman" w:hAnsi="Times New Roman" w:cs="Times New Roman"/>
      <w:kern w:val="2"/>
      <w:sz w:val="21"/>
      <w:szCs w:val="24"/>
      <w:lang w:val="en-US" w:bidi="ar-SA"/>
    </w:rPr>
  </w:style>
  <w:style w:type="paragraph" w:styleId="5">
    <w:name w:val="Body Text"/>
    <w:basedOn w:val="1"/>
    <w:qFormat/>
    <w:uiPriority w:val="1"/>
    <w:rPr>
      <w:sz w:val="21"/>
      <w:szCs w:val="21"/>
    </w:rPr>
  </w:style>
  <w:style w:type="paragraph" w:styleId="6">
    <w:name w:val="Balloon Text"/>
    <w:basedOn w:val="1"/>
    <w:link w:val="29"/>
    <w:semiHidden/>
    <w:unhideWhenUsed/>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Normal (Web)"/>
    <w:basedOn w:val="1"/>
    <w:qFormat/>
    <w:uiPriority w:val="0"/>
    <w:pPr>
      <w:spacing w:beforeAutospacing="1" w:afterAutospacing="1"/>
    </w:pPr>
    <w:rPr>
      <w:rFonts w:cs="Times New Roman"/>
      <w:sz w:val="24"/>
      <w:lang w:val="en-US"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color w:val="000000"/>
    </w:rPr>
  </w:style>
  <w:style w:type="character" w:styleId="14">
    <w:name w:val="FollowedHyperlink"/>
    <w:basedOn w:val="12"/>
    <w:qFormat/>
    <w:uiPriority w:val="0"/>
    <w:rPr>
      <w:color w:val="000000"/>
      <w:u w:val="none"/>
    </w:rPr>
  </w:style>
  <w:style w:type="character" w:styleId="15">
    <w:name w:val="Emphasis"/>
    <w:basedOn w:val="12"/>
    <w:qFormat/>
    <w:uiPriority w:val="0"/>
  </w:style>
  <w:style w:type="character" w:styleId="16">
    <w:name w:val="HTML Definition"/>
    <w:basedOn w:val="12"/>
    <w:qFormat/>
    <w:uiPriority w:val="0"/>
  </w:style>
  <w:style w:type="character" w:styleId="17">
    <w:name w:val="HTML Acronym"/>
    <w:basedOn w:val="12"/>
    <w:qFormat/>
    <w:uiPriority w:val="0"/>
  </w:style>
  <w:style w:type="character" w:styleId="18">
    <w:name w:val="HTML Variable"/>
    <w:basedOn w:val="12"/>
    <w:qFormat/>
    <w:uiPriority w:val="0"/>
  </w:style>
  <w:style w:type="character" w:styleId="19">
    <w:name w:val="Hyperlink"/>
    <w:basedOn w:val="12"/>
    <w:qFormat/>
    <w:uiPriority w:val="0"/>
    <w:rPr>
      <w:color w:val="000000"/>
      <w:u w:val="none"/>
    </w:rPr>
  </w:style>
  <w:style w:type="character" w:styleId="20">
    <w:name w:val="HTML Code"/>
    <w:basedOn w:val="12"/>
    <w:qFormat/>
    <w:uiPriority w:val="0"/>
    <w:rPr>
      <w:rFonts w:ascii="Courier" w:hAnsi="Courier" w:cs="Courier"/>
      <w:sz w:val="20"/>
    </w:rPr>
  </w:style>
  <w:style w:type="character" w:styleId="21">
    <w:name w:val="annotation reference"/>
    <w:basedOn w:val="12"/>
    <w:semiHidden/>
    <w:unhideWhenUsed/>
    <w:qFormat/>
    <w:uiPriority w:val="99"/>
    <w:rPr>
      <w:sz w:val="21"/>
      <w:szCs w:val="21"/>
    </w:rPr>
  </w:style>
  <w:style w:type="character" w:styleId="22">
    <w:name w:val="HTML Cite"/>
    <w:basedOn w:val="12"/>
    <w:qFormat/>
    <w:uiPriority w:val="0"/>
  </w:style>
  <w:style w:type="table" w:customStyle="1" w:styleId="23">
    <w:name w:val="Table Normal"/>
    <w:semiHidden/>
    <w:unhideWhenUsed/>
    <w:qFormat/>
    <w:uiPriority w:val="2"/>
    <w:tblPr>
      <w:tblCellMar>
        <w:top w:w="0" w:type="dxa"/>
        <w:left w:w="0" w:type="dxa"/>
        <w:bottom w:w="0" w:type="dxa"/>
        <w:right w:w="0" w:type="dxa"/>
      </w:tblCellMar>
    </w:tblPr>
  </w:style>
  <w:style w:type="paragraph" w:styleId="24">
    <w:name w:val="List Paragraph"/>
    <w:basedOn w:val="1"/>
    <w:qFormat/>
    <w:uiPriority w:val="1"/>
    <w:pPr>
      <w:ind w:left="116" w:firstLine="419"/>
    </w:pPr>
  </w:style>
  <w:style w:type="paragraph" w:customStyle="1" w:styleId="25">
    <w:name w:val="Table Paragraph"/>
    <w:basedOn w:val="1"/>
    <w:qFormat/>
    <w:uiPriority w:val="1"/>
  </w:style>
  <w:style w:type="paragraph" w:customStyle="1" w:styleId="26">
    <w:name w:val="二级条标题"/>
    <w:basedOn w:val="27"/>
    <w:next w:val="28"/>
    <w:qFormat/>
    <w:uiPriority w:val="0"/>
    <w:pPr>
      <w:numPr>
        <w:ilvl w:val="2"/>
      </w:numPr>
      <w:spacing w:before="50" w:after="50"/>
      <w:outlineLvl w:val="3"/>
    </w:pPr>
  </w:style>
  <w:style w:type="paragraph" w:customStyle="1" w:styleId="27">
    <w:name w:val="一级条标题"/>
    <w:next w:val="2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8">
    <w:name w:val="段"/>
    <w:link w:val="3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9">
    <w:name w:val="批注框文本 Char"/>
    <w:basedOn w:val="12"/>
    <w:link w:val="6"/>
    <w:semiHidden/>
    <w:qFormat/>
    <w:uiPriority w:val="0"/>
    <w:rPr>
      <w:rFonts w:ascii="宋体" w:hAnsi="宋体" w:eastAsia="宋体" w:cs="宋体"/>
      <w:sz w:val="18"/>
      <w:szCs w:val="18"/>
      <w:lang w:val="zh-CN" w:bidi="zh-CN"/>
    </w:rPr>
  </w:style>
  <w:style w:type="character" w:customStyle="1" w:styleId="30">
    <w:name w:val="段 Char"/>
    <w:link w:val="28"/>
    <w:qFormat/>
    <w:uiPriority w:val="0"/>
    <w:rPr>
      <w:rFonts w:ascii="宋体" w:hAnsi="Times New Roman" w:eastAsia="宋体" w:cs="Times New Roman"/>
      <w:sz w:val="21"/>
    </w:rPr>
  </w:style>
  <w:style w:type="character" w:customStyle="1" w:styleId="31">
    <w:name w:val="批注文字 Char"/>
    <w:basedOn w:val="12"/>
    <w:link w:val="4"/>
    <w:semiHidden/>
    <w:qFormat/>
    <w:uiPriority w:val="99"/>
    <w:rPr>
      <w:rFonts w:ascii="Times New Roman" w:hAnsi="Times New Roman" w:eastAsia="宋体" w:cs="Times New Roman"/>
      <w:kern w:val="2"/>
      <w:sz w:val="21"/>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86AD8D-57CB-408C-BD83-29B439399946}">
  <ds:schemaRefs/>
</ds:datastoreItem>
</file>

<file path=docProps/app.xml><?xml version="1.0" encoding="utf-8"?>
<Properties xmlns="http://schemas.openxmlformats.org/officeDocument/2006/extended-properties" xmlns:vt="http://schemas.openxmlformats.org/officeDocument/2006/docPropsVTypes">
  <Template>Normal.dotm</Template>
  <Pages>1</Pages>
  <Words>479</Words>
  <Characters>2735</Characters>
  <Lines>22</Lines>
  <Paragraphs>6</Paragraphs>
  <TotalTime>19</TotalTime>
  <ScaleCrop>false</ScaleCrop>
  <LinksUpToDate>false</LinksUpToDate>
  <CharactersWithSpaces>3208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2022-04-23T07:04:00Z</dcterms:created>
  <dc:creator>aa</dc:creator>
  <cp:lastModifiedBy>hjy</cp:lastModifiedBy>
  <cp:lastPrinted>2020-05-15T03:49:00Z</cp:lastPrinted>
  <dcterms:modified xsi:type="dcterms:W3CDTF">2022-04-26T01:15:40Z</dcterms:modified>
  <dc:title>编制说明（草稿）</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Word 2016</vt:lpwstr>
  </property>
  <property fmtid="{D5CDD505-2E9C-101B-9397-08002B2CF9AE}" pid="4" name="LastSaved">
    <vt:filetime>2020-03-03T00:00:00Z</vt:filetime>
  </property>
  <property fmtid="{D5CDD505-2E9C-101B-9397-08002B2CF9AE}" pid="5" name="KSOProductBuildVer">
    <vt:lpwstr>2052-11.1.0.11294</vt:lpwstr>
  </property>
  <property fmtid="{D5CDD505-2E9C-101B-9397-08002B2CF9AE}" pid="6" name="ICV">
    <vt:lpwstr>184324E6EC7040DBB3229EC353F94BD6</vt:lpwstr>
  </property>
</Properties>
</file>